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33" w:rsidRDefault="00822D33" w:rsidP="00822D33">
      <w:pPr>
        <w:pStyle w:val="Titre1"/>
      </w:pPr>
      <w:bookmarkStart w:id="0" w:name="_Toc493609047"/>
      <w:bookmarkStart w:id="1" w:name="_GoBack"/>
      <w:bookmarkEnd w:id="1"/>
      <w:r>
        <w:t>L’accessibilité numérique dans la loi française</w:t>
      </w:r>
      <w:bookmarkEnd w:id="0"/>
    </w:p>
    <w:p w:rsidR="009463C9" w:rsidRDefault="009463C9" w:rsidP="00822D33">
      <w:r>
        <w:t>Olivier Nourry</w:t>
      </w:r>
    </w:p>
    <w:p w:rsidR="009463C9" w:rsidRDefault="009463C9" w:rsidP="009463C9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75382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63C9" w:rsidRDefault="009463C9">
          <w:pPr>
            <w:pStyle w:val="En-ttedetabledesmatires"/>
          </w:pPr>
          <w:r>
            <w:t>Table des matières</w:t>
          </w:r>
        </w:p>
        <w:p w:rsidR="009463C9" w:rsidRDefault="009463C9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609047" w:history="1">
            <w:r w:rsidRPr="000B30B2">
              <w:rPr>
                <w:rStyle w:val="Lienhypertexte"/>
                <w:noProof/>
              </w:rPr>
              <w:t>L’accessibilité numérique dans la loi française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_Toc493609047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93609048" w:history="1">
            <w:r w:rsidR="009463C9" w:rsidRPr="000B30B2">
              <w:rPr>
                <w:rStyle w:val="Lienhypertexte"/>
                <w:noProof/>
              </w:rPr>
              <w:t>Principaux impacts des lois Handicap, République Numérique, et du Code Pénal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_Toc493609048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3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49" w:history="1">
            <w:r w:rsidR="009463C9" w:rsidRPr="000B30B2">
              <w:rPr>
                <w:rStyle w:val="Lienhypertexte"/>
                <w:noProof/>
              </w:rPr>
              <w:t>2005: La loi Handicap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_Toc493609049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3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0" w:history="1">
            <w:r w:rsidR="009463C9" w:rsidRPr="000B30B2">
              <w:rPr>
                <w:rStyle w:val="Lienhypertexte"/>
                <w:noProof/>
              </w:rPr>
              <w:t>Mise en application de l’article 47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_Toc493609050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3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1" w:history="1">
            <w:r w:rsidR="009463C9" w:rsidRPr="000B30B2">
              <w:rPr>
                <w:rStyle w:val="Lienhypertexte"/>
                <w:noProof/>
              </w:rPr>
              <w:t>Les effets de l’article 47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_Toc493609051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3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2" w:history="1">
            <w:r w:rsidR="009463C9" w:rsidRPr="000B30B2">
              <w:rPr>
                <w:rStyle w:val="Lienhypertexte"/>
                <w:noProof/>
              </w:rPr>
              <w:t>2016: La Loi République Numérique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_Toc493609052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3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3" w:history="1">
            <w:r w:rsidR="009463C9" w:rsidRPr="000B30B2">
              <w:rPr>
                <w:rStyle w:val="Lienhypertexte"/>
                <w:noProof/>
              </w:rPr>
              <w:t>Vivement le décret!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_Toc493609053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5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4" w:history="1">
            <w:r w:rsidR="009463C9" w:rsidRPr="000B30B2">
              <w:rPr>
                <w:rStyle w:val="Lienhypertexte"/>
                <w:noProof/>
              </w:rPr>
              <w:t>N’oublions pas le Code Pénal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_Toc493609054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5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5" w:history="1">
            <w:r w:rsidR="009463C9" w:rsidRPr="000B30B2">
              <w:rPr>
                <w:rStyle w:val="Lienhypertexte"/>
                <w:noProof/>
              </w:rPr>
              <w:t>Que faire dans l’immédiat ?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_Toc493609055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5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805B7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93609056" w:history="1">
            <w:r w:rsidR="009463C9" w:rsidRPr="000B30B2">
              <w:rPr>
                <w:rStyle w:val="Lienhypertexte"/>
                <w:noProof/>
              </w:rPr>
              <w:t>Merci!</w:t>
            </w:r>
            <w:r w:rsidR="009463C9">
              <w:rPr>
                <w:noProof/>
                <w:webHidden/>
              </w:rPr>
              <w:tab/>
            </w:r>
            <w:r w:rsidR="009463C9">
              <w:rPr>
                <w:noProof/>
                <w:webHidden/>
              </w:rPr>
              <w:fldChar w:fldCharType="begin"/>
            </w:r>
            <w:r w:rsidR="009463C9">
              <w:rPr>
                <w:noProof/>
                <w:webHidden/>
              </w:rPr>
              <w:instrText xml:space="preserve"> PAGEREF _Toc493609056 \h </w:instrText>
            </w:r>
            <w:r w:rsidR="009463C9">
              <w:rPr>
                <w:noProof/>
                <w:webHidden/>
              </w:rPr>
            </w:r>
            <w:r w:rsidR="009463C9">
              <w:rPr>
                <w:noProof/>
                <w:webHidden/>
              </w:rPr>
              <w:fldChar w:fldCharType="separate"/>
            </w:r>
            <w:r w:rsidR="009463C9">
              <w:rPr>
                <w:noProof/>
                <w:webHidden/>
              </w:rPr>
              <w:t>5</w:t>
            </w:r>
            <w:r w:rsidR="009463C9">
              <w:rPr>
                <w:noProof/>
                <w:webHidden/>
              </w:rPr>
              <w:fldChar w:fldCharType="end"/>
            </w:r>
          </w:hyperlink>
        </w:p>
        <w:p w:rsidR="009463C9" w:rsidRDefault="009463C9">
          <w:r>
            <w:rPr>
              <w:b/>
              <w:bCs/>
            </w:rPr>
            <w:fldChar w:fldCharType="end"/>
          </w:r>
        </w:p>
      </w:sdtContent>
    </w:sdt>
    <w:p w:rsidR="00822D33" w:rsidRDefault="00822D33" w:rsidP="00822D3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9463C9" w:rsidRDefault="00946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822D33" w:rsidRDefault="00822D33" w:rsidP="00822D33">
      <w:pPr>
        <w:pStyle w:val="Titre2"/>
      </w:pPr>
      <w:bookmarkStart w:id="2" w:name="_Toc493609048"/>
      <w:r>
        <w:lastRenderedPageBreak/>
        <w:t>Principaux impacts des lois Handicap, République Numérique, et du Code Pénal</w:t>
      </w:r>
      <w:bookmarkEnd w:id="2"/>
    </w:p>
    <w:p w:rsidR="00822D33" w:rsidRDefault="00822D33" w:rsidP="00822D33">
      <w:pPr>
        <w:pStyle w:val="Default"/>
      </w:pPr>
    </w:p>
    <w:p w:rsidR="00822D33" w:rsidRDefault="00822D33" w:rsidP="00822D33">
      <w:pPr>
        <w:pStyle w:val="Titre3"/>
      </w:pPr>
      <w:bookmarkStart w:id="3" w:name="_Toc493609049"/>
      <w:r>
        <w:t>2005</w:t>
      </w:r>
      <w:r w:rsidR="009463C9">
        <w:t xml:space="preserve"> </w:t>
      </w:r>
      <w:r>
        <w:t>: La loi Handicap</w:t>
      </w:r>
      <w:bookmarkEnd w:id="3"/>
    </w:p>
    <w:p w:rsidR="00822D33" w:rsidRDefault="00822D33" w:rsidP="00822D33">
      <w:pPr>
        <w:pStyle w:val="Titre4"/>
      </w:pPr>
      <w:r>
        <w:t>L’article 47 version d’origine</w:t>
      </w:r>
    </w:p>
    <w:p w:rsidR="00822D33" w:rsidRDefault="00822D33" w:rsidP="00822D33">
      <w:pPr>
        <w:pStyle w:val="Default"/>
        <w:numPr>
          <w:ilvl w:val="0"/>
          <w:numId w:val="1"/>
        </w:numPr>
      </w:pPr>
      <w:r>
        <w:t>Obligation de rendre les services de communication publique en ligne accessibles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Conformité aux standards internationaux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 xml:space="preserve">Applicable aux services de l’Etat, des collectivités territoriales, et des 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établissements publics qui en dépendent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Pour tout type d’information sous forme numérique</w:t>
      </w:r>
    </w:p>
    <w:p w:rsidR="00822D33" w:rsidRDefault="00822D33" w:rsidP="00822D33">
      <w:pPr>
        <w:pStyle w:val="Default"/>
        <w:numPr>
          <w:ilvl w:val="0"/>
          <w:numId w:val="1"/>
        </w:numPr>
      </w:pPr>
      <w:r>
        <w:t>Reporte à un décret en Conseil d’État certaines dispositions: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Nature des adaptations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Délais de mise en conformité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Sanctions</w:t>
      </w:r>
    </w:p>
    <w:p w:rsidR="00822D33" w:rsidRDefault="00822D33" w:rsidP="00822D33">
      <w:pPr>
        <w:pStyle w:val="Default"/>
        <w:numPr>
          <w:ilvl w:val="1"/>
          <w:numId w:val="1"/>
        </w:numPr>
      </w:pPr>
      <w:r>
        <w:t>Modalités de formation des personnels</w:t>
      </w:r>
    </w:p>
    <w:p w:rsidR="00822D33" w:rsidRDefault="00822D33" w:rsidP="00822D33">
      <w:pPr>
        <w:pStyle w:val="Titre3"/>
      </w:pPr>
      <w:bookmarkStart w:id="4" w:name="_Toc493609050"/>
      <w:r>
        <w:t>Mise en application de l’article 47</w:t>
      </w:r>
      <w:bookmarkEnd w:id="4"/>
    </w:p>
    <w:p w:rsidR="00822D33" w:rsidRDefault="00822D33" w:rsidP="00822D33">
      <w:pPr>
        <w:pStyle w:val="Titre4"/>
      </w:pPr>
      <w:r>
        <w:t>Décret du 14 mai 2009:</w:t>
      </w:r>
    </w:p>
    <w:p w:rsidR="00822D33" w:rsidRDefault="00822D33" w:rsidP="00822D33">
      <w:pPr>
        <w:pStyle w:val="Default"/>
        <w:numPr>
          <w:ilvl w:val="0"/>
          <w:numId w:val="2"/>
        </w:numPr>
      </w:pPr>
      <w:r>
        <w:t xml:space="preserve">Instauration d’un Référentiel d’accessibilité fixant les règles pour Internet, le </w:t>
      </w:r>
    </w:p>
    <w:p w:rsidR="00822D33" w:rsidRDefault="00822D33" w:rsidP="00822D33">
      <w:pPr>
        <w:pStyle w:val="Default"/>
        <w:numPr>
          <w:ilvl w:val="1"/>
          <w:numId w:val="2"/>
        </w:numPr>
      </w:pPr>
      <w:r>
        <w:t>téléphone, la télévision</w:t>
      </w:r>
    </w:p>
    <w:p w:rsidR="00822D33" w:rsidRDefault="00822D33" w:rsidP="00822D33">
      <w:pPr>
        <w:pStyle w:val="Default"/>
        <w:numPr>
          <w:ilvl w:val="1"/>
          <w:numId w:val="2"/>
        </w:numPr>
      </w:pPr>
      <w:r>
        <w:t>Délai de 3 ans, réduit à 2 pour les services de l’État</w:t>
      </w:r>
    </w:p>
    <w:p w:rsidR="00822D33" w:rsidRDefault="00822D33" w:rsidP="00822D33">
      <w:pPr>
        <w:pStyle w:val="Default"/>
        <w:numPr>
          <w:ilvl w:val="1"/>
          <w:numId w:val="2"/>
        </w:numPr>
      </w:pPr>
      <w:r>
        <w:t xml:space="preserve">En cas de manquement: mise en demeure, puis inscription sur une liste </w:t>
      </w:r>
    </w:p>
    <w:p w:rsidR="00822D33" w:rsidRDefault="00822D33" w:rsidP="00822D33">
      <w:pPr>
        <w:pStyle w:val="Default"/>
        <w:numPr>
          <w:ilvl w:val="1"/>
          <w:numId w:val="2"/>
        </w:numPr>
      </w:pPr>
      <w:r>
        <w:t>publique</w:t>
      </w:r>
    </w:p>
    <w:p w:rsidR="00822D33" w:rsidRDefault="00822D33" w:rsidP="00822D33">
      <w:pPr>
        <w:pStyle w:val="Default"/>
        <w:numPr>
          <w:ilvl w:val="1"/>
          <w:numId w:val="2"/>
        </w:numPr>
      </w:pPr>
      <w:r>
        <w:t>L’accessibilité doit faire partie de la formation continue des agents</w:t>
      </w:r>
    </w:p>
    <w:p w:rsidR="00822D33" w:rsidRDefault="00822D33" w:rsidP="00822D33">
      <w:pPr>
        <w:pStyle w:val="Default"/>
        <w:numPr>
          <w:ilvl w:val="0"/>
          <w:numId w:val="2"/>
        </w:numPr>
      </w:pPr>
      <w:r>
        <w:t>Arrêté Ministériel du 21 octobre 2009: le RGAA (pour le Web uniquement)</w:t>
      </w:r>
    </w:p>
    <w:p w:rsidR="00822D33" w:rsidRDefault="00822D33" w:rsidP="00822D33">
      <w:pPr>
        <w:pStyle w:val="Default"/>
        <w:numPr>
          <w:ilvl w:val="0"/>
          <w:numId w:val="2"/>
        </w:numPr>
      </w:pPr>
      <w:r>
        <w:t>Arrêté Ministériel du 29 avril 2015: le RGAA 3.0</w:t>
      </w:r>
    </w:p>
    <w:p w:rsidR="00822D33" w:rsidRDefault="00822D33" w:rsidP="00822D33">
      <w:pPr>
        <w:pStyle w:val="Titre3"/>
      </w:pPr>
      <w:bookmarkStart w:id="5" w:name="_Toc493609051"/>
      <w:r>
        <w:t>Les effets de l’article 47</w:t>
      </w:r>
      <w:bookmarkEnd w:id="5"/>
    </w:p>
    <w:p w:rsidR="00822D33" w:rsidRDefault="00822D33" w:rsidP="00822D33">
      <w:pPr>
        <w:pStyle w:val="Default"/>
      </w:pPr>
      <w:r>
        <w:t>Illustration : Paysage désertique. Une boule d’herbes sauvages traverse l’écran, suggérant la désolation, le vide.</w:t>
      </w:r>
    </w:p>
    <w:p w:rsidR="00822D33" w:rsidRDefault="00822D33" w:rsidP="00822D33">
      <w:pPr>
        <w:pStyle w:val="Titre3"/>
      </w:pPr>
      <w:bookmarkStart w:id="6" w:name="_Toc493609052"/>
      <w:r>
        <w:t>2016: La Loi République Numérique</w:t>
      </w:r>
      <w:bookmarkEnd w:id="6"/>
    </w:p>
    <w:p w:rsidR="00822D33" w:rsidRDefault="00805B73" w:rsidP="00822D33">
      <w:pPr>
        <w:pStyle w:val="Default"/>
        <w:numPr>
          <w:ilvl w:val="0"/>
          <w:numId w:val="3"/>
        </w:numPr>
      </w:pPr>
      <w:hyperlink r:id="rId6" w:history="1">
        <w:r w:rsidR="00822D33" w:rsidRPr="00822D33">
          <w:rPr>
            <w:rStyle w:val="Lienhypertexte"/>
          </w:rPr>
          <w:t>http://a42.fr/lrn106</w:t>
        </w:r>
      </w:hyperlink>
    </w:p>
    <w:p w:rsidR="00822D33" w:rsidRDefault="00822D33" w:rsidP="00822D33">
      <w:pPr>
        <w:pStyle w:val="Default"/>
        <w:numPr>
          <w:ilvl w:val="0"/>
          <w:numId w:val="3"/>
        </w:numPr>
      </w:pPr>
      <w:r>
        <w:t xml:space="preserve">Remplace l’article 47, en le complétant </w:t>
      </w:r>
    </w:p>
    <w:p w:rsidR="00822D33" w:rsidRDefault="00822D33" w:rsidP="00822D33">
      <w:pPr>
        <w:pStyle w:val="Titre4"/>
      </w:pPr>
      <w:r>
        <w:t>Ce qui ne change pas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Les entités concernées par l’article 47 le sont toujours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Les sites (internet, extranet, intranet) concernés par l’article 47 le sont toujours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Le décret d’application et les arrêtés ministériels de l’article 47 sont toujours valides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Délai de mise en conformité ne pouvant excéder 3 ans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L’obligation de formation est toujours inscrite dans la loi</w:t>
      </w:r>
    </w:p>
    <w:p w:rsidR="00822D33" w:rsidRDefault="00822D33" w:rsidP="00822D33">
      <w:pPr>
        <w:pStyle w:val="Default"/>
        <w:numPr>
          <w:ilvl w:val="0"/>
          <w:numId w:val="4"/>
        </w:numPr>
      </w:pPr>
      <w:r>
        <w:t>Une bonne partie des modalités d’application est reportée à un décret en Conseil d’État</w:t>
      </w:r>
    </w:p>
    <w:p w:rsidR="00822D33" w:rsidRDefault="00822D33" w:rsidP="00822D33">
      <w:pPr>
        <w:pStyle w:val="Titre4"/>
      </w:pPr>
      <w:r>
        <w:t>Ce qui change entités concernées :</w:t>
      </w:r>
    </w:p>
    <w:p w:rsidR="00822D33" w:rsidRDefault="00822D33" w:rsidP="00822D33">
      <w:pPr>
        <w:pStyle w:val="Default"/>
        <w:numPr>
          <w:ilvl w:val="0"/>
          <w:numId w:val="5"/>
        </w:numPr>
      </w:pPr>
      <w:r>
        <w:t>Organismes délégataires d’une mission de service public</w:t>
      </w:r>
    </w:p>
    <w:p w:rsidR="00822D33" w:rsidRDefault="00822D33" w:rsidP="00822D33">
      <w:pPr>
        <w:pStyle w:val="Default"/>
        <w:numPr>
          <w:ilvl w:val="0"/>
          <w:numId w:val="5"/>
        </w:numPr>
      </w:pPr>
      <w:r>
        <w:t>Entreprises privées excédant un certain seuil de chiffre d’affaires</w:t>
      </w:r>
    </w:p>
    <w:p w:rsidR="00822D33" w:rsidRDefault="00822D33" w:rsidP="00822D33">
      <w:pPr>
        <w:pStyle w:val="Titre4"/>
      </w:pPr>
      <w:r>
        <w:t>Ce qui change : types d’information concernés</w:t>
      </w:r>
    </w:p>
    <w:p w:rsidR="00822D33" w:rsidRDefault="00822D33" w:rsidP="00822D33">
      <w:pPr>
        <w:pStyle w:val="Default"/>
        <w:numPr>
          <w:ilvl w:val="0"/>
          <w:numId w:val="6"/>
        </w:numPr>
      </w:pPr>
      <w:r>
        <w:t>«Tout type d’information sous forme numérique, […] notamment» :</w:t>
      </w:r>
    </w:p>
    <w:p w:rsidR="00822D33" w:rsidRDefault="00822D33" w:rsidP="009463C9">
      <w:pPr>
        <w:pStyle w:val="Default"/>
        <w:numPr>
          <w:ilvl w:val="1"/>
          <w:numId w:val="6"/>
        </w:numPr>
      </w:pPr>
      <w:r>
        <w:t>Applications mobiles</w:t>
      </w:r>
    </w:p>
    <w:p w:rsidR="00822D33" w:rsidRDefault="00822D33" w:rsidP="009463C9">
      <w:pPr>
        <w:pStyle w:val="Default"/>
        <w:numPr>
          <w:ilvl w:val="1"/>
          <w:numId w:val="6"/>
        </w:numPr>
      </w:pPr>
      <w:r>
        <w:t>Les progiciels</w:t>
      </w:r>
    </w:p>
    <w:p w:rsidR="00822D33" w:rsidRDefault="00822D33" w:rsidP="009463C9">
      <w:pPr>
        <w:pStyle w:val="Default"/>
        <w:numPr>
          <w:ilvl w:val="1"/>
          <w:numId w:val="6"/>
        </w:numPr>
      </w:pPr>
      <w:r>
        <w:t>Le mobilier urbain numérique</w:t>
      </w:r>
    </w:p>
    <w:p w:rsidR="00822D33" w:rsidRDefault="00822D33" w:rsidP="00822D33">
      <w:pPr>
        <w:pStyle w:val="Default"/>
      </w:pPr>
    </w:p>
    <w:p w:rsidR="00822D33" w:rsidRDefault="00822D33" w:rsidP="009463C9">
      <w:pPr>
        <w:pStyle w:val="Default"/>
        <w:numPr>
          <w:ilvl w:val="0"/>
          <w:numId w:val="6"/>
        </w:numPr>
      </w:pPr>
      <w:r>
        <w:t>Loi n°83-634 du 13 juillet 1983 portant droits et obligations des fonctionnaires: ajoute les logiciels métiers et de bureautique, pour les fonctionnaires</w:t>
      </w:r>
    </w:p>
    <w:p w:rsidR="00822D33" w:rsidRDefault="00822D33" w:rsidP="00822D33">
      <w:pPr>
        <w:pStyle w:val="Default"/>
      </w:pPr>
    </w:p>
    <w:p w:rsidR="00822D33" w:rsidRDefault="00822D33" w:rsidP="009463C9">
      <w:pPr>
        <w:pStyle w:val="Titre4"/>
      </w:pPr>
      <w:r>
        <w:t>Ce qui change</w:t>
      </w:r>
      <w:r w:rsidR="009463C9">
        <w:t xml:space="preserve"> </w:t>
      </w:r>
      <w:r>
        <w:t>: obligation d’affichage</w:t>
      </w:r>
    </w:p>
    <w:p w:rsidR="00822D33" w:rsidRDefault="00822D33" w:rsidP="009463C9">
      <w:pPr>
        <w:pStyle w:val="Default"/>
        <w:numPr>
          <w:ilvl w:val="0"/>
          <w:numId w:val="7"/>
        </w:numPr>
      </w:pPr>
      <w:r>
        <w:t xml:space="preserve">Obligation d’afficher la conformité ou non aux règles d’accessibilité, </w:t>
      </w:r>
    </w:p>
    <w:p w:rsidR="00822D33" w:rsidRDefault="00822D33" w:rsidP="009463C9">
      <w:pPr>
        <w:pStyle w:val="Default"/>
        <w:numPr>
          <w:ilvl w:val="0"/>
          <w:numId w:val="7"/>
        </w:numPr>
      </w:pPr>
      <w:r>
        <w:t>en page d’accueil</w:t>
      </w:r>
    </w:p>
    <w:p w:rsidR="00822D33" w:rsidRDefault="00822D33" w:rsidP="009463C9">
      <w:pPr>
        <w:pStyle w:val="Default"/>
        <w:numPr>
          <w:ilvl w:val="0"/>
          <w:numId w:val="7"/>
        </w:numPr>
      </w:pPr>
      <w:r>
        <w:t xml:space="preserve">Lien vers le schéma pluriannuel (3 ans au plus, avec plans d’action </w:t>
      </w:r>
    </w:p>
    <w:p w:rsidR="00822D33" w:rsidRDefault="00822D33" w:rsidP="009463C9">
      <w:pPr>
        <w:pStyle w:val="Default"/>
        <w:numPr>
          <w:ilvl w:val="0"/>
          <w:numId w:val="7"/>
        </w:numPr>
      </w:pPr>
      <w:r>
        <w:t>annuels)</w:t>
      </w:r>
    </w:p>
    <w:p w:rsidR="00822D33" w:rsidRDefault="00822D33" w:rsidP="009463C9">
      <w:pPr>
        <w:pStyle w:val="Default"/>
        <w:numPr>
          <w:ilvl w:val="0"/>
          <w:numId w:val="7"/>
        </w:numPr>
      </w:pPr>
      <w:r>
        <w:t>Moyen de signalement de défauts d’accessibilité par les usagers</w:t>
      </w:r>
    </w:p>
    <w:p w:rsidR="00822D33" w:rsidRDefault="00822D33" w:rsidP="009463C9">
      <w:pPr>
        <w:pStyle w:val="Titre4"/>
      </w:pPr>
      <w:r>
        <w:t>Ce qui change</w:t>
      </w:r>
      <w:r w:rsidR="009463C9">
        <w:t xml:space="preserve"> </w:t>
      </w:r>
      <w:r>
        <w:t>: sanctions</w:t>
      </w:r>
    </w:p>
    <w:p w:rsidR="00822D33" w:rsidRDefault="00822D33" w:rsidP="009463C9">
      <w:pPr>
        <w:pStyle w:val="Default"/>
        <w:numPr>
          <w:ilvl w:val="0"/>
          <w:numId w:val="8"/>
        </w:numPr>
      </w:pPr>
      <w:r>
        <w:t>Le manquement à l’obligation d’affichage donnera lieu à une sanction administrative</w:t>
      </w:r>
    </w:p>
    <w:p w:rsidR="00822D33" w:rsidRDefault="00822D33" w:rsidP="009463C9">
      <w:pPr>
        <w:pStyle w:val="Default"/>
        <w:numPr>
          <w:ilvl w:val="0"/>
          <w:numId w:val="8"/>
        </w:numPr>
      </w:pPr>
      <w:r>
        <w:t>Jusqu’à 5000€ par an</w:t>
      </w:r>
    </w:p>
    <w:p w:rsidR="00822D33" w:rsidRDefault="00822D33" w:rsidP="009463C9">
      <w:pPr>
        <w:pStyle w:val="Default"/>
        <w:numPr>
          <w:ilvl w:val="0"/>
          <w:numId w:val="8"/>
        </w:numPr>
      </w:pPr>
      <w:r>
        <w:t>Alimentera le fonds national d'accompagnement de l'accessibilité universelle</w:t>
      </w:r>
    </w:p>
    <w:p w:rsidR="009463C9" w:rsidRDefault="009463C9" w:rsidP="00822D33">
      <w:pPr>
        <w:pStyle w:val="Default"/>
      </w:pPr>
    </w:p>
    <w:p w:rsidR="00822D33" w:rsidRDefault="00822D33" w:rsidP="009463C9">
      <w:pPr>
        <w:pStyle w:val="Titre4"/>
      </w:pPr>
      <w:r>
        <w:t>Les zones d’ombre</w:t>
      </w:r>
      <w:r w:rsidR="009463C9">
        <w:t xml:space="preserve"> </w:t>
      </w:r>
      <w:r>
        <w:t>: entités concernées</w:t>
      </w:r>
    </w:p>
    <w:p w:rsidR="00822D33" w:rsidRDefault="00822D33" w:rsidP="009463C9">
      <w:pPr>
        <w:pStyle w:val="Default"/>
        <w:numPr>
          <w:ilvl w:val="0"/>
          <w:numId w:val="9"/>
        </w:numPr>
      </w:pPr>
      <w:r>
        <w:t>Organismes délégataires de mission de service public:</w:t>
      </w:r>
    </w:p>
    <w:p w:rsidR="00822D33" w:rsidRDefault="00822D33" w:rsidP="009463C9">
      <w:pPr>
        <w:pStyle w:val="Default"/>
        <w:numPr>
          <w:ilvl w:val="1"/>
          <w:numId w:val="9"/>
        </w:numPr>
      </w:pPr>
      <w:r>
        <w:t>Quelles communications sont concernées?</w:t>
      </w:r>
    </w:p>
    <w:p w:rsidR="00822D33" w:rsidRDefault="00822D33" w:rsidP="009463C9">
      <w:pPr>
        <w:pStyle w:val="Default"/>
        <w:numPr>
          <w:ilvl w:val="0"/>
          <w:numId w:val="9"/>
        </w:numPr>
      </w:pPr>
      <w:r>
        <w:t>Entreprises privées:</w:t>
      </w:r>
    </w:p>
    <w:p w:rsidR="00822D33" w:rsidRDefault="00822D33" w:rsidP="009463C9">
      <w:pPr>
        <w:pStyle w:val="Default"/>
        <w:numPr>
          <w:ilvl w:val="1"/>
          <w:numId w:val="9"/>
        </w:numPr>
      </w:pPr>
      <w:r>
        <w:t>Quel seuil de chiffre d’affaires</w:t>
      </w:r>
      <w:r w:rsidR="009463C9">
        <w:t xml:space="preserve"> </w:t>
      </w:r>
      <w:r>
        <w:t>?</w:t>
      </w:r>
    </w:p>
    <w:p w:rsidR="00822D33" w:rsidRDefault="00822D33" w:rsidP="009463C9">
      <w:pPr>
        <w:pStyle w:val="Default"/>
        <w:numPr>
          <w:ilvl w:val="1"/>
          <w:numId w:val="9"/>
        </w:numPr>
      </w:pPr>
      <w:r>
        <w:t>Mode de calcul</w:t>
      </w:r>
      <w:r w:rsidR="009463C9">
        <w:t xml:space="preserve"> </w:t>
      </w:r>
      <w:r>
        <w:t>?</w:t>
      </w:r>
    </w:p>
    <w:p w:rsidR="009463C9" w:rsidRDefault="00822D33" w:rsidP="009463C9">
      <w:pPr>
        <w:pStyle w:val="Default"/>
        <w:numPr>
          <w:ilvl w:val="1"/>
          <w:numId w:val="9"/>
        </w:numPr>
      </w:pPr>
      <w:r>
        <w:t>Groupes</w:t>
      </w:r>
      <w:r w:rsidR="009463C9">
        <w:t xml:space="preserve"> </w:t>
      </w:r>
      <w:r>
        <w:t xml:space="preserve">? </w:t>
      </w:r>
    </w:p>
    <w:p w:rsidR="00822D33" w:rsidRDefault="00822D33" w:rsidP="009463C9">
      <w:pPr>
        <w:pStyle w:val="Default"/>
        <w:numPr>
          <w:ilvl w:val="1"/>
          <w:numId w:val="9"/>
        </w:numPr>
      </w:pPr>
      <w:r>
        <w:t>Filiales</w:t>
      </w:r>
      <w:r w:rsidR="009463C9">
        <w:t xml:space="preserve"> </w:t>
      </w:r>
      <w:r>
        <w:t xml:space="preserve">? </w:t>
      </w:r>
    </w:p>
    <w:p w:rsidR="00822D33" w:rsidRDefault="00822D33" w:rsidP="009463C9">
      <w:pPr>
        <w:pStyle w:val="Titre4"/>
      </w:pPr>
      <w:r>
        <w:t>Les zones d’ombre: communications concernées</w:t>
      </w:r>
    </w:p>
    <w:p w:rsidR="00822D33" w:rsidRDefault="00822D33" w:rsidP="009463C9">
      <w:pPr>
        <w:pStyle w:val="Default"/>
        <w:numPr>
          <w:ilvl w:val="0"/>
          <w:numId w:val="10"/>
        </w:numPr>
      </w:pPr>
      <w:r>
        <w:t>Applications mobiles, progiciels, logiciels métiers et bureautiques</w:t>
      </w:r>
    </w:p>
    <w:p w:rsidR="00822D33" w:rsidRDefault="00822D33" w:rsidP="009463C9">
      <w:pPr>
        <w:pStyle w:val="Default"/>
        <w:numPr>
          <w:ilvl w:val="1"/>
          <w:numId w:val="10"/>
        </w:numPr>
      </w:pPr>
      <w:r>
        <w:t>Quelles règles appliquer</w:t>
      </w:r>
      <w:r w:rsidR="009463C9">
        <w:t xml:space="preserve"> </w:t>
      </w:r>
      <w:r>
        <w:t>?</w:t>
      </w:r>
    </w:p>
    <w:p w:rsidR="00822D33" w:rsidRDefault="00822D33" w:rsidP="009463C9">
      <w:pPr>
        <w:pStyle w:val="Default"/>
        <w:numPr>
          <w:ilvl w:val="1"/>
          <w:numId w:val="10"/>
        </w:numPr>
      </w:pPr>
      <w:r>
        <w:t>Quid des versions antérieures à la loi?</w:t>
      </w:r>
    </w:p>
    <w:p w:rsidR="00822D33" w:rsidRDefault="00822D33" w:rsidP="009463C9">
      <w:pPr>
        <w:pStyle w:val="Default"/>
        <w:numPr>
          <w:ilvl w:val="1"/>
          <w:numId w:val="10"/>
        </w:numPr>
      </w:pPr>
      <w:r>
        <w:t>Qui est responsable pour les logiciels d’éditeurs?</w:t>
      </w:r>
    </w:p>
    <w:p w:rsidR="00822D33" w:rsidRDefault="00822D33" w:rsidP="009463C9">
      <w:pPr>
        <w:pStyle w:val="Default"/>
        <w:numPr>
          <w:ilvl w:val="0"/>
          <w:numId w:val="10"/>
        </w:numPr>
      </w:pPr>
      <w:r>
        <w:t>Mobilier urbain numérique</w:t>
      </w:r>
    </w:p>
    <w:p w:rsidR="00822D33" w:rsidRDefault="00822D33" w:rsidP="009463C9">
      <w:pPr>
        <w:pStyle w:val="Default"/>
        <w:numPr>
          <w:ilvl w:val="1"/>
          <w:numId w:val="10"/>
        </w:numPr>
      </w:pPr>
      <w:r>
        <w:t xml:space="preserve">??? </w:t>
      </w:r>
    </w:p>
    <w:p w:rsidR="00822D33" w:rsidRDefault="00822D33" w:rsidP="009463C9">
      <w:pPr>
        <w:pStyle w:val="Titre4"/>
      </w:pPr>
      <w:r>
        <w:t>Les zones d’ombre</w:t>
      </w:r>
      <w:r w:rsidR="009463C9">
        <w:t xml:space="preserve"> </w:t>
      </w:r>
      <w:r>
        <w:t>: la formation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???</w:t>
      </w:r>
    </w:p>
    <w:p w:rsidR="00822D33" w:rsidRDefault="00822D33" w:rsidP="009463C9">
      <w:pPr>
        <w:pStyle w:val="Titre4"/>
      </w:pPr>
      <w:r>
        <w:t>Les zones d’ombre</w:t>
      </w:r>
      <w:r w:rsidR="009463C9">
        <w:t xml:space="preserve"> </w:t>
      </w:r>
      <w:r>
        <w:t>: sanctions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 xml:space="preserve">Un défaut d’affichage sur un seul site/logiciel dans toute l’entité 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déclenche-t-</w:t>
      </w:r>
      <w:r w:rsidR="009463C9">
        <w:t>il la sanction ?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Comment appliquer l’obligation d’affichage sur un logiciel</w:t>
      </w:r>
      <w:r w:rsidR="009463C9">
        <w:t xml:space="preserve"> </w:t>
      </w:r>
      <w:r>
        <w:t xml:space="preserve">? Du </w:t>
      </w:r>
    </w:p>
    <w:p w:rsidR="00822D33" w:rsidRDefault="009463C9" w:rsidP="009463C9">
      <w:pPr>
        <w:pStyle w:val="Default"/>
        <w:numPr>
          <w:ilvl w:val="0"/>
          <w:numId w:val="11"/>
        </w:numPr>
      </w:pPr>
      <w:r>
        <w:t>mobilier urbain ?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Sanction pa</w:t>
      </w:r>
      <w:r w:rsidR="009463C9">
        <w:t>r entité, ou par site/logiciel ?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Quel montant</w:t>
      </w:r>
      <w:r w:rsidR="009463C9">
        <w:t xml:space="preserve"> </w:t>
      </w:r>
      <w:r>
        <w:t>? Selon quels</w:t>
      </w:r>
      <w:r w:rsidR="009463C9">
        <w:t xml:space="preserve"> critères ?</w:t>
      </w:r>
    </w:p>
    <w:p w:rsidR="00822D33" w:rsidRDefault="00822D33" w:rsidP="009463C9">
      <w:pPr>
        <w:pStyle w:val="Default"/>
        <w:numPr>
          <w:ilvl w:val="0"/>
          <w:numId w:val="11"/>
        </w:numPr>
      </w:pPr>
      <w:r>
        <w:t>Qui vérifie</w:t>
      </w:r>
      <w:r w:rsidR="009463C9">
        <w:t xml:space="preserve"> </w:t>
      </w:r>
      <w:r>
        <w:t>? Qui recouvre</w:t>
      </w:r>
      <w:r w:rsidR="009463C9">
        <w:t xml:space="preserve"> </w:t>
      </w:r>
      <w:r>
        <w:t>? Comment</w:t>
      </w:r>
      <w:r w:rsidR="009463C9">
        <w:t xml:space="preserve"> </w:t>
      </w:r>
      <w:r>
        <w:t>?</w:t>
      </w:r>
    </w:p>
    <w:p w:rsidR="00822D33" w:rsidRDefault="00822D33" w:rsidP="00822D33">
      <w:pPr>
        <w:pStyle w:val="Default"/>
      </w:pPr>
    </w:p>
    <w:p w:rsidR="00822D33" w:rsidRDefault="00822D33" w:rsidP="00822D33">
      <w:pPr>
        <w:pStyle w:val="Default"/>
      </w:pPr>
    </w:p>
    <w:p w:rsidR="00822D33" w:rsidRDefault="00822D33" w:rsidP="00822D33">
      <w:pPr>
        <w:pStyle w:val="Default"/>
      </w:pPr>
      <w:r>
        <w:br w:type="page"/>
      </w:r>
    </w:p>
    <w:p w:rsidR="00822D33" w:rsidRDefault="00822D33" w:rsidP="009463C9">
      <w:pPr>
        <w:pStyle w:val="Titre3"/>
      </w:pPr>
      <w:bookmarkStart w:id="7" w:name="_Toc493609053"/>
      <w:r>
        <w:t>Vivement le décret!</w:t>
      </w:r>
      <w:bookmarkEnd w:id="7"/>
    </w:p>
    <w:p w:rsidR="00822D33" w:rsidRDefault="00822D33" w:rsidP="00822D33">
      <w:pPr>
        <w:pStyle w:val="Default"/>
      </w:pPr>
    </w:p>
    <w:p w:rsidR="00822D33" w:rsidRDefault="009463C9" w:rsidP="00822D33">
      <w:pPr>
        <w:pStyle w:val="Default"/>
      </w:pPr>
      <w:r>
        <w:t xml:space="preserve">II lustration : </w:t>
      </w:r>
      <w:r w:rsidR="00822D33">
        <w:t>Un petit garçon croise les doigts, avec une expression du visage qui suggère qu'il veut y croire très fort.</w:t>
      </w:r>
    </w:p>
    <w:p w:rsidR="00822D33" w:rsidRDefault="00822D33" w:rsidP="009463C9">
      <w:pPr>
        <w:pStyle w:val="Titre3"/>
      </w:pPr>
      <w:bookmarkStart w:id="8" w:name="_Toc493609054"/>
      <w:r>
        <w:t>N’oublions pas le Code Pénal</w:t>
      </w:r>
      <w:bookmarkEnd w:id="8"/>
    </w:p>
    <w:p w:rsidR="00822D33" w:rsidRDefault="00822D33" w:rsidP="009463C9">
      <w:pPr>
        <w:pStyle w:val="Default"/>
        <w:numPr>
          <w:ilvl w:val="0"/>
          <w:numId w:val="12"/>
        </w:numPr>
      </w:pPr>
      <w:r>
        <w:t>Le refus d’accessibilité est assimilable à une forme de discrimination passive</w:t>
      </w:r>
    </w:p>
    <w:p w:rsidR="00822D33" w:rsidRDefault="00822D33" w:rsidP="009463C9">
      <w:pPr>
        <w:pStyle w:val="Default"/>
        <w:numPr>
          <w:ilvl w:val="0"/>
          <w:numId w:val="12"/>
        </w:numPr>
      </w:pPr>
      <w:r>
        <w:t>Articles 225-1 et suivants du Code Pénal</w:t>
      </w:r>
      <w:r w:rsidR="009463C9">
        <w:t xml:space="preserve"> </w:t>
      </w:r>
      <w:r>
        <w:t>:</w:t>
      </w:r>
    </w:p>
    <w:p w:rsidR="00822D33" w:rsidRDefault="009463C9" w:rsidP="009463C9">
      <w:pPr>
        <w:pStyle w:val="Default"/>
        <w:numPr>
          <w:ilvl w:val="1"/>
          <w:numId w:val="12"/>
        </w:numPr>
      </w:pPr>
      <w:r>
        <w:t>45000 à 75000€ d’amende</w:t>
      </w:r>
    </w:p>
    <w:p w:rsidR="00822D33" w:rsidRDefault="00822D33" w:rsidP="009463C9">
      <w:pPr>
        <w:pStyle w:val="Default"/>
        <w:numPr>
          <w:ilvl w:val="1"/>
          <w:numId w:val="12"/>
        </w:numPr>
      </w:pPr>
      <w:r>
        <w:t>3 à 5 ans de prison</w:t>
      </w:r>
    </w:p>
    <w:p w:rsidR="00822D33" w:rsidRDefault="00822D33" w:rsidP="009463C9">
      <w:pPr>
        <w:pStyle w:val="Titre3"/>
      </w:pPr>
      <w:bookmarkStart w:id="9" w:name="_Toc493609055"/>
      <w:r>
        <w:t>Que faire dans l’immédiat</w:t>
      </w:r>
      <w:r w:rsidR="009463C9">
        <w:t xml:space="preserve"> </w:t>
      </w:r>
      <w:r>
        <w:t>?</w:t>
      </w:r>
      <w:bookmarkEnd w:id="9"/>
    </w:p>
    <w:p w:rsidR="00822D33" w:rsidRDefault="00822D33" w:rsidP="009463C9">
      <w:pPr>
        <w:pStyle w:val="Default"/>
        <w:numPr>
          <w:ilvl w:val="0"/>
          <w:numId w:val="13"/>
        </w:numPr>
      </w:pPr>
      <w:r>
        <w:t>Faire l’inventa</w:t>
      </w:r>
      <w:r w:rsidR="009463C9">
        <w:t>ire de son patrimoine numérique</w:t>
      </w:r>
    </w:p>
    <w:p w:rsidR="00822D33" w:rsidRDefault="00822D33" w:rsidP="009463C9">
      <w:pPr>
        <w:pStyle w:val="Default"/>
        <w:numPr>
          <w:ilvl w:val="0"/>
          <w:numId w:val="13"/>
        </w:numPr>
      </w:pPr>
      <w:r>
        <w:t>Indiquer le niveau de conformité (spoiler: non conforme)</w:t>
      </w:r>
    </w:p>
    <w:p w:rsidR="00822D33" w:rsidRDefault="00822D33" w:rsidP="009463C9">
      <w:pPr>
        <w:pStyle w:val="Default"/>
        <w:numPr>
          <w:ilvl w:val="0"/>
          <w:numId w:val="13"/>
        </w:numPr>
      </w:pPr>
      <w:r>
        <w:t>Sensibiliser le management</w:t>
      </w:r>
    </w:p>
    <w:p w:rsidR="00822D33" w:rsidRDefault="00822D33" w:rsidP="009463C9">
      <w:pPr>
        <w:pStyle w:val="Default"/>
        <w:numPr>
          <w:ilvl w:val="0"/>
          <w:numId w:val="13"/>
        </w:numPr>
      </w:pPr>
      <w:r>
        <w:t>Former les opérationnels</w:t>
      </w:r>
    </w:p>
    <w:p w:rsidR="00822D33" w:rsidRDefault="00822D33" w:rsidP="009463C9">
      <w:pPr>
        <w:pStyle w:val="Default"/>
        <w:numPr>
          <w:ilvl w:val="0"/>
          <w:numId w:val="13"/>
        </w:numPr>
      </w:pPr>
      <w:r>
        <w:t>Établir un schéma pluriannuel et des plans d’action</w:t>
      </w:r>
    </w:p>
    <w:p w:rsidR="00822D33" w:rsidRDefault="00822D33" w:rsidP="00822D33">
      <w:pPr>
        <w:pStyle w:val="Default"/>
      </w:pPr>
    </w:p>
    <w:p w:rsidR="00822D33" w:rsidRDefault="00822D33" w:rsidP="009463C9">
      <w:pPr>
        <w:pStyle w:val="Default"/>
        <w:ind w:left="360"/>
      </w:pPr>
    </w:p>
    <w:p w:rsidR="00822D33" w:rsidRDefault="00822D33" w:rsidP="009463C9">
      <w:pPr>
        <w:pStyle w:val="Titre3"/>
      </w:pPr>
      <w:bookmarkStart w:id="10" w:name="_Toc493609056"/>
      <w:r>
        <w:t>Merci!</w:t>
      </w:r>
      <w:bookmarkEnd w:id="10"/>
    </w:p>
    <w:p w:rsidR="00822D33" w:rsidRDefault="00822D33" w:rsidP="00822D33">
      <w:pPr>
        <w:pStyle w:val="Default"/>
      </w:pPr>
    </w:p>
    <w:p w:rsidR="00822D33" w:rsidRDefault="00822D33" w:rsidP="009463C9">
      <w:pPr>
        <w:pStyle w:val="Default"/>
        <w:numPr>
          <w:ilvl w:val="0"/>
          <w:numId w:val="14"/>
        </w:numPr>
      </w:pPr>
      <w:r>
        <w:t>Olivier Nourry (@OlivierNourry)</w:t>
      </w:r>
    </w:p>
    <w:p w:rsidR="00822D33" w:rsidRDefault="00822D33" w:rsidP="009463C9">
      <w:pPr>
        <w:pStyle w:val="Default"/>
        <w:numPr>
          <w:ilvl w:val="0"/>
          <w:numId w:val="14"/>
        </w:numPr>
      </w:pPr>
      <w:r>
        <w:t>Access First (http://access-first.fr)</w:t>
      </w:r>
    </w:p>
    <w:p w:rsidR="00822D33" w:rsidRDefault="00822D33" w:rsidP="00822D33">
      <w:pPr>
        <w:pStyle w:val="Default"/>
      </w:pPr>
    </w:p>
    <w:sectPr w:rsidR="0082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D9E"/>
    <w:multiLevelType w:val="hybridMultilevel"/>
    <w:tmpl w:val="0820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4673"/>
    <w:multiLevelType w:val="hybridMultilevel"/>
    <w:tmpl w:val="D514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128"/>
    <w:multiLevelType w:val="hybridMultilevel"/>
    <w:tmpl w:val="C1128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61F7"/>
    <w:multiLevelType w:val="hybridMultilevel"/>
    <w:tmpl w:val="F774A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2320"/>
    <w:multiLevelType w:val="hybridMultilevel"/>
    <w:tmpl w:val="8BD8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585C"/>
    <w:multiLevelType w:val="hybridMultilevel"/>
    <w:tmpl w:val="385E0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5BA"/>
    <w:multiLevelType w:val="hybridMultilevel"/>
    <w:tmpl w:val="D90C4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4B43"/>
    <w:multiLevelType w:val="hybridMultilevel"/>
    <w:tmpl w:val="31ACD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6AC3"/>
    <w:multiLevelType w:val="hybridMultilevel"/>
    <w:tmpl w:val="2AFED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30C4"/>
    <w:multiLevelType w:val="hybridMultilevel"/>
    <w:tmpl w:val="31DC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7314"/>
    <w:multiLevelType w:val="hybridMultilevel"/>
    <w:tmpl w:val="FA16D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E6B6E"/>
    <w:multiLevelType w:val="hybridMultilevel"/>
    <w:tmpl w:val="38C68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206C"/>
    <w:multiLevelType w:val="hybridMultilevel"/>
    <w:tmpl w:val="F79E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3CC8"/>
    <w:multiLevelType w:val="hybridMultilevel"/>
    <w:tmpl w:val="2E723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3"/>
    <w:rsid w:val="00346112"/>
    <w:rsid w:val="00370DD1"/>
    <w:rsid w:val="0046651B"/>
    <w:rsid w:val="00805B73"/>
    <w:rsid w:val="00822D33"/>
    <w:rsid w:val="009463C9"/>
    <w:rsid w:val="00964208"/>
    <w:rsid w:val="00A67D1D"/>
    <w:rsid w:val="00C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272F-E1FF-44E3-93CC-DB6A6D2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2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2D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2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22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2D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2D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D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822D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D33"/>
    <w:rPr>
      <w:color w:val="808080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63C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463C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463C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463C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42.fr/lrn106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74C303420574EB4271F1D9BF8C701" ma:contentTypeVersion="17" ma:contentTypeDescription="Crée un document." ma:contentTypeScope="" ma:versionID="6e6113603ac349da6a7889e7b66550d5">
  <xsd:schema xmlns:xsd="http://www.w3.org/2001/XMLSchema" xmlns:xs="http://www.w3.org/2001/XMLSchema" xmlns:p="http://schemas.microsoft.com/office/2006/metadata/properties" xmlns:ns2="41d5903d-e8c5-4c52-90c7-8900a17b8418" xmlns:ns3="3c530dbc-99ff-4755-a939-b4e007a462a2" targetNamespace="http://schemas.microsoft.com/office/2006/metadata/properties" ma:root="true" ma:fieldsID="b94ee9e627890314f8a49c8b9d65a78d" ns2:_="" ns3:_="">
    <xsd:import namespace="41d5903d-e8c5-4c52-90c7-8900a17b8418"/>
    <xsd:import namespace="3c530dbc-99ff-4755-a939-b4e007a462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903d-e8c5-4c52-90c7-8900a17b8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2998a3-68f2-4bcb-9f15-3820287aa10a}" ma:internalName="TaxCatchAll" ma:showField="CatchAllData" ma:web="41d5903d-e8c5-4c52-90c7-8900a17b8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0dbc-99ff-4755-a939-b4e007a4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1c88eab-435a-4e4b-831c-3804b19b4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F4B64-2495-4EBA-BBBC-44EA9B3EA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2D783-BD92-4E81-9D5F-B0ED0DD8170B}"/>
</file>

<file path=customXml/itemProps3.xml><?xml version="1.0" encoding="utf-8"?>
<ds:datastoreItem xmlns:ds="http://schemas.openxmlformats.org/officeDocument/2006/customXml" ds:itemID="{2E3FFFD2-23B1-4B5C-8C6B-27E41285B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Villain</dc:creator>
  <cp:keywords/>
  <dc:description/>
  <cp:lastModifiedBy>Marion</cp:lastModifiedBy>
  <cp:revision>2</cp:revision>
  <dcterms:created xsi:type="dcterms:W3CDTF">2017-09-20T09:01:00Z</dcterms:created>
  <dcterms:modified xsi:type="dcterms:W3CDTF">2017-09-20T09:01:00Z</dcterms:modified>
</cp:coreProperties>
</file>