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524" w14:textId="75E94227" w:rsidR="000E2D12" w:rsidRDefault="000E2D12" w:rsidP="000E2D12">
      <w:pPr>
        <w:jc w:val="right"/>
        <w:rPr>
          <w:i/>
          <w:iCs/>
        </w:rPr>
      </w:pPr>
      <w:r>
        <w:rPr>
          <w:i/>
          <w:iCs/>
        </w:rPr>
        <w:t>Dernière m</w:t>
      </w:r>
      <w:r w:rsidRPr="00425EAA">
        <w:rPr>
          <w:i/>
          <w:iCs/>
        </w:rPr>
        <w:t>ise à jour :</w:t>
      </w:r>
      <w:r w:rsidR="004610F0">
        <w:rPr>
          <w:i/>
          <w:iCs/>
        </w:rPr>
        <w:t xml:space="preserve"> 03/02/2025</w:t>
      </w:r>
      <w:r>
        <w:rPr>
          <w:i/>
          <w:iCs/>
        </w:rPr>
        <w:fldChar w:fldCharType="begin"/>
      </w:r>
      <w:r>
        <w:rPr>
          <w:i/>
          <w:iCs/>
        </w:rPr>
        <w:instrText xml:space="preserve"> LASTSAVEDBY  \* MERGEFORMAT </w:instrText>
      </w:r>
      <w:r>
        <w:rPr>
          <w:i/>
          <w:iCs/>
        </w:rPr>
        <w:fldChar w:fldCharType="end"/>
      </w:r>
    </w:p>
    <w:p w14:paraId="5FB926D8" w14:textId="77777777" w:rsidR="000E2D12" w:rsidRDefault="000E2D12" w:rsidP="000E2D12">
      <w:pPr>
        <w:pStyle w:val="Titre"/>
      </w:pPr>
      <w:bookmarkStart w:id="0" w:name="_Toc179298925"/>
      <w:bookmarkStart w:id="1" w:name="_Toc184898476"/>
      <w:r>
        <w:t>Rapport détaillé de l’étude «</w:t>
      </w:r>
      <w:r w:rsidRPr="41E2B674">
        <w:rPr>
          <w:rFonts w:ascii="Arial" w:hAnsi="Arial" w:cs="Arial"/>
        </w:rPr>
        <w:t> </w:t>
      </w:r>
      <w:r>
        <w:t>Nomenclature de la sémantique sur le handicap</w:t>
      </w:r>
      <w:r w:rsidRPr="41E2B674">
        <w:rPr>
          <w:rFonts w:ascii="Arial" w:hAnsi="Arial" w:cs="Arial"/>
        </w:rPr>
        <w:t> </w:t>
      </w:r>
      <w:r>
        <w:t>»</w:t>
      </w:r>
      <w:bookmarkEnd w:id="0"/>
      <w:r>
        <w:t xml:space="preserve"> menée par Access42 en 2023</w:t>
      </w:r>
      <w:bookmarkEnd w:id="1"/>
    </w:p>
    <w:p w14:paraId="5D141478" w14:textId="77777777" w:rsidR="000E2D12" w:rsidRDefault="000E2D12" w:rsidP="000E2D12">
      <w:pPr>
        <w:pStyle w:val="Titre2"/>
      </w:pPr>
      <w:bookmarkStart w:id="2" w:name="_Toc179298926"/>
      <w:bookmarkStart w:id="3" w:name="_Toc184898477"/>
      <w:r>
        <w:t>Résumé</w:t>
      </w:r>
      <w:bookmarkEnd w:id="2"/>
      <w:bookmarkEnd w:id="3"/>
    </w:p>
    <w:p w14:paraId="6BD71F52" w14:textId="223E0145" w:rsidR="00805E4A" w:rsidRDefault="000E2D12" w:rsidP="000E2D12">
      <w:r>
        <w:t xml:space="preserve">Le présent </w:t>
      </w:r>
      <w:r w:rsidRPr="00CF6608">
        <w:t xml:space="preserve">rapport </w:t>
      </w:r>
      <w:r>
        <w:t xml:space="preserve">présente le contexte et les résultats </w:t>
      </w:r>
      <w:r w:rsidRPr="00CF6608">
        <w:t xml:space="preserve">de l’étude menée </w:t>
      </w:r>
      <w:r w:rsidR="00DF2C8D" w:rsidRPr="00CF6608">
        <w:t>en janvier 2023</w:t>
      </w:r>
      <w:r w:rsidR="00DF2C8D">
        <w:t xml:space="preserve"> </w:t>
      </w:r>
      <w:r w:rsidRPr="00CF6608">
        <w:t xml:space="preserve">par </w:t>
      </w:r>
      <w:hyperlink r:id="rId11" w:history="1">
        <w:r w:rsidRPr="00592CD0">
          <w:rPr>
            <w:rStyle w:val="Lienhypertexte"/>
          </w:rPr>
          <w:t>Access42</w:t>
        </w:r>
      </w:hyperlink>
      <w:r>
        <w:t xml:space="preserve">, cabinet de conseil français </w:t>
      </w:r>
      <w:r w:rsidR="007956A3">
        <w:t xml:space="preserve">et organisme de formation </w:t>
      </w:r>
      <w:r>
        <w:t>spécialisé en accessibilité numérique.</w:t>
      </w:r>
    </w:p>
    <w:p w14:paraId="1E20DCE1" w14:textId="77777777" w:rsidR="000A7F8A" w:rsidRDefault="000E2D12" w:rsidP="000E2D12">
      <w:r>
        <w:t>Cette étude avait pour objectif d’</w:t>
      </w:r>
      <w:r w:rsidRPr="00342AC5">
        <w:rPr>
          <w:b/>
          <w:bCs/>
        </w:rPr>
        <w:t>examiner les termes les plus appropriés pour désigner les personnes « avec handicap »</w:t>
      </w:r>
      <w:r>
        <w:t>.</w:t>
      </w:r>
    </w:p>
    <w:p w14:paraId="66621DED" w14:textId="695933B0" w:rsidR="000E2D12" w:rsidRDefault="000E2D12" w:rsidP="000E2D12">
      <w:r>
        <w:t xml:space="preserve">L’enquête a </w:t>
      </w:r>
      <w:r w:rsidRPr="00CF6608">
        <w:t>recueill</w:t>
      </w:r>
      <w:r>
        <w:t>i</w:t>
      </w:r>
      <w:r w:rsidRPr="00CF6608">
        <w:t xml:space="preserve"> </w:t>
      </w:r>
      <w:r>
        <w:t>316</w:t>
      </w:r>
      <w:r w:rsidR="00B94060">
        <w:t> </w:t>
      </w:r>
      <w:r w:rsidRPr="00CF6608">
        <w:t>réponses</w:t>
      </w:r>
      <w:r w:rsidR="005A7E57">
        <w:t xml:space="preserve"> : </w:t>
      </w:r>
      <w:r w:rsidRPr="00CF6608">
        <w:t>123</w:t>
      </w:r>
      <w:r>
        <w:t xml:space="preserve"> réponses de </w:t>
      </w:r>
      <w:r w:rsidRPr="00CF6608">
        <w:t>personnes « avec handicap »</w:t>
      </w:r>
      <w:r w:rsidR="00B94060">
        <w:t xml:space="preserve"> (PSH) et </w:t>
      </w:r>
      <w:r w:rsidR="00B94060" w:rsidRPr="00B94060">
        <w:t>193 personnes « sans handicap » (</w:t>
      </w:r>
      <w:r w:rsidR="005A7E57">
        <w:t>N</w:t>
      </w:r>
      <w:r w:rsidR="00B94060" w:rsidRPr="00B94060">
        <w:t>PSH)</w:t>
      </w:r>
      <w:r w:rsidR="00C82358">
        <w:t>.</w:t>
      </w:r>
      <w:r w:rsidR="00916A82">
        <w:t xml:space="preserve"> Les résultats ont été pondérés pour tenir compte de </w:t>
      </w:r>
      <w:r w:rsidR="00C64434">
        <w:t xml:space="preserve">la </w:t>
      </w:r>
      <w:r w:rsidR="00916A82">
        <w:t xml:space="preserve">sur-représentation </w:t>
      </w:r>
      <w:r w:rsidR="00C64434">
        <w:t>de ces dernières dans l’échantillon</w:t>
      </w:r>
      <w:r w:rsidR="00916A82">
        <w:t>.</w:t>
      </w:r>
    </w:p>
    <w:p w14:paraId="5D23013C" w14:textId="77777777" w:rsidR="000E2D12" w:rsidRPr="00CF6608" w:rsidRDefault="000E2D12" w:rsidP="000E2D12">
      <w:r w:rsidRPr="004A4C83">
        <w:t xml:space="preserve">Les résultats montrent </w:t>
      </w:r>
      <w:r w:rsidRPr="00CE6B16">
        <w:t>une</w:t>
      </w:r>
      <w:r w:rsidRPr="004A4C83">
        <w:t xml:space="preserve"> </w:t>
      </w:r>
      <w:r w:rsidRPr="0091460A">
        <w:rPr>
          <w:b/>
          <w:bCs/>
        </w:rPr>
        <w:t>préférence pour les termes « personnes handicapées » et « personne en situation de handicap »</w:t>
      </w:r>
      <w:r w:rsidRPr="00CF6608">
        <w:t>, bien que leurs usages varient selon le contexte</w:t>
      </w:r>
      <w:r>
        <w:t> :</w:t>
      </w:r>
    </w:p>
    <w:p w14:paraId="22F34978" w14:textId="77777777" w:rsidR="000E2D12" w:rsidRDefault="000E2D12" w:rsidP="000E2D12">
      <w:pPr>
        <w:pStyle w:val="Paragraphedeliste"/>
        <w:numPr>
          <w:ilvl w:val="0"/>
          <w:numId w:val="39"/>
        </w:numPr>
      </w:pPr>
      <w:r>
        <w:t>l</w:t>
      </w:r>
      <w:r w:rsidRPr="00CF6608">
        <w:t>es personnes « avec handicap » privilégient le terme « personnes handicapées », perçu comme plus direct et reflétant mieux la réalité</w:t>
      </w:r>
      <w:r>
        <w:t> ;</w:t>
      </w:r>
    </w:p>
    <w:p w14:paraId="6A563EEF" w14:textId="77777777" w:rsidR="000E2D12" w:rsidRPr="00CF6608" w:rsidRDefault="000E2D12" w:rsidP="000E2D12">
      <w:pPr>
        <w:pStyle w:val="Paragraphedeliste"/>
        <w:numPr>
          <w:ilvl w:val="0"/>
          <w:numId w:val="39"/>
        </w:numPr>
      </w:pPr>
      <w:r>
        <w:t xml:space="preserve">les </w:t>
      </w:r>
      <w:r w:rsidRPr="00CF6608">
        <w:t>personnes « sans handicap » optent davantage pour l’expression « personne en situation de handicap » jugée plus neutre et politiquement correcte.</w:t>
      </w:r>
    </w:p>
    <w:p w14:paraId="09B93576" w14:textId="77777777" w:rsidR="000E2D12" w:rsidRPr="00CF6608" w:rsidRDefault="000E2D12" w:rsidP="000E2D12">
      <w:r w:rsidRPr="006858C2">
        <w:rPr>
          <w:b/>
          <w:bCs/>
        </w:rPr>
        <w:t>Les termes « personnes porteuses de handicap », « handicapé ou handicapée », et « invalides » sont largement rejetés</w:t>
      </w:r>
      <w:r w:rsidRPr="00CF6608">
        <w:t xml:space="preserve"> </w:t>
      </w:r>
      <w:r>
        <w:t xml:space="preserve">par les deux groupes </w:t>
      </w:r>
      <w:r w:rsidRPr="00CF6608">
        <w:t>en raison de leurs connotations négatives ou déshumanisantes.</w:t>
      </w:r>
    </w:p>
    <w:p w14:paraId="2144B328" w14:textId="77777777" w:rsidR="000E2D12" w:rsidRPr="00CF6608" w:rsidRDefault="000E2D12" w:rsidP="000E2D12">
      <w:r>
        <w:t>Par ailleurs, l</w:t>
      </w:r>
      <w:r w:rsidRPr="00CF6608">
        <w:t xml:space="preserve">’étude met en lumière </w:t>
      </w:r>
      <w:r w:rsidRPr="008B5A53">
        <w:rPr>
          <w:b/>
          <w:bCs/>
        </w:rPr>
        <w:t>l’importance d’adapter le langage en fonction du contexte</w:t>
      </w:r>
      <w:r w:rsidRPr="009762BF">
        <w:t xml:space="preserve"> et des préférences personnelles</w:t>
      </w:r>
      <w:r w:rsidRPr="00CF6608">
        <w:t>. Il est essentiel de rester flexible et à l’écoute des personnes concernées pour garantir une communication respectueuse et inclusive.</w:t>
      </w:r>
    </w:p>
    <w:p w14:paraId="6399BD5A" w14:textId="1CF481EB" w:rsidR="000E2D12" w:rsidRDefault="00572849" w:rsidP="000E2D12">
      <w:r>
        <w:t>Enfin</w:t>
      </w:r>
      <w:r w:rsidR="000E2D12" w:rsidRPr="00CF6608">
        <w:t xml:space="preserve">, il </w:t>
      </w:r>
      <w:r w:rsidR="000E2D12">
        <w:t xml:space="preserve">est </w:t>
      </w:r>
      <w:r w:rsidR="000E2D12" w:rsidRPr="00CF6608">
        <w:t xml:space="preserve">essentiel de rappeler que cette enquête </w:t>
      </w:r>
      <w:r w:rsidR="000E2D12">
        <w:t xml:space="preserve">d’initiative privée </w:t>
      </w:r>
      <w:r w:rsidR="000E2D12" w:rsidRPr="00CF6608">
        <w:t>n’est qu’une étape exploratoire du sujet</w:t>
      </w:r>
      <w:r w:rsidR="000E2D12">
        <w:t> : elle nécessite</w:t>
      </w:r>
      <w:r w:rsidR="000E2D12" w:rsidRPr="00CF6608">
        <w:t xml:space="preserve"> </w:t>
      </w:r>
      <w:r w:rsidR="000E2D12">
        <w:t>d’</w:t>
      </w:r>
      <w:r w:rsidR="000E2D12" w:rsidRPr="00CF6608">
        <w:t xml:space="preserve">être </w:t>
      </w:r>
      <w:r w:rsidR="000E2D12">
        <w:t xml:space="preserve">répliquée et </w:t>
      </w:r>
      <w:r w:rsidR="000E2D12" w:rsidRPr="00CF6608">
        <w:t>complétée</w:t>
      </w:r>
      <w:r w:rsidR="000E2D12">
        <w:t>, selon les principes de la méthode scientifique.</w:t>
      </w:r>
    </w:p>
    <w:p w14:paraId="1C020BE6" w14:textId="77777777" w:rsidR="000E2D12" w:rsidRDefault="000E2D12" w:rsidP="000E2D12">
      <w:pPr>
        <w:spacing w:after="0"/>
        <w:rPr>
          <w:rFonts w:eastAsia="Yu Gothic Light"/>
          <w:b/>
          <w:color w:val="0B1A34"/>
          <w:sz w:val="26"/>
          <w:szCs w:val="32"/>
          <w:lang w:eastAsia="ja-JP"/>
        </w:rPr>
      </w:pPr>
      <w:r>
        <w:br w:type="page"/>
      </w:r>
    </w:p>
    <w:p w14:paraId="469AC76B" w14:textId="22A7DC75" w:rsidR="00ED3BB9" w:rsidRPr="00ED3BB9" w:rsidRDefault="00ED3BB9" w:rsidP="00ED3BB9">
      <w:pPr>
        <w:pStyle w:val="Titre2"/>
      </w:pPr>
      <w:bookmarkStart w:id="4" w:name="_Toc184898478"/>
      <w:r w:rsidRPr="00ED3BB9">
        <w:lastRenderedPageBreak/>
        <w:t>Table des matières</w:t>
      </w:r>
      <w:bookmarkEnd w:id="4"/>
    </w:p>
    <w:p w14:paraId="34FB446F" w14:textId="1AB21DC9" w:rsidR="00013801" w:rsidRDefault="002E02CC">
      <w:pPr>
        <w:pStyle w:val="TM1"/>
        <w:tabs>
          <w:tab w:val="right" w:leader="dot" w:pos="9056"/>
        </w:tabs>
        <w:rPr>
          <w:rFonts w:eastAsiaTheme="minorEastAsia" w:cstheme="minorBidi"/>
          <w:b w:val="0"/>
          <w:bCs w:val="0"/>
          <w:caps w:val="0"/>
          <w:noProof/>
          <w:kern w:val="2"/>
          <w:sz w:val="24"/>
          <w:szCs w:val="24"/>
          <w14:ligatures w14:val="standardContextual"/>
        </w:rPr>
      </w:pPr>
      <w:r>
        <w:fldChar w:fldCharType="begin"/>
      </w:r>
      <w:r>
        <w:instrText xml:space="preserve"> TOC \o "1-3" \h \z \u </w:instrText>
      </w:r>
      <w:r>
        <w:fldChar w:fldCharType="separate"/>
      </w:r>
      <w:hyperlink w:anchor="_Toc184898476" w:history="1">
        <w:r w:rsidR="00013801" w:rsidRPr="000D59F7">
          <w:rPr>
            <w:rStyle w:val="Lienhypertexte"/>
            <w:noProof/>
          </w:rPr>
          <w:t>Rapport détaillé de l’étude «</w:t>
        </w:r>
        <w:r w:rsidR="00013801" w:rsidRPr="000D59F7">
          <w:rPr>
            <w:rStyle w:val="Lienhypertexte"/>
            <w:rFonts w:ascii="Arial" w:hAnsi="Arial" w:cs="Arial"/>
            <w:noProof/>
          </w:rPr>
          <w:t> </w:t>
        </w:r>
        <w:r w:rsidR="00013801" w:rsidRPr="000D59F7">
          <w:rPr>
            <w:rStyle w:val="Lienhypertexte"/>
            <w:noProof/>
          </w:rPr>
          <w:t>Nomenclature de la sémantique sur le handicap</w:t>
        </w:r>
        <w:r w:rsidR="00013801" w:rsidRPr="000D59F7">
          <w:rPr>
            <w:rStyle w:val="Lienhypertexte"/>
            <w:rFonts w:ascii="Arial" w:hAnsi="Arial" w:cs="Arial"/>
            <w:noProof/>
          </w:rPr>
          <w:t> </w:t>
        </w:r>
        <w:r w:rsidR="00013801" w:rsidRPr="000D59F7">
          <w:rPr>
            <w:rStyle w:val="Lienhypertexte"/>
            <w:noProof/>
          </w:rPr>
          <w:t>» menée par Access42 en 2023</w:t>
        </w:r>
        <w:r w:rsidR="00013801">
          <w:rPr>
            <w:noProof/>
            <w:webHidden/>
          </w:rPr>
          <w:tab/>
        </w:r>
        <w:r w:rsidR="00013801">
          <w:rPr>
            <w:noProof/>
            <w:webHidden/>
          </w:rPr>
          <w:fldChar w:fldCharType="begin"/>
        </w:r>
        <w:r w:rsidR="00013801">
          <w:rPr>
            <w:noProof/>
            <w:webHidden/>
          </w:rPr>
          <w:instrText xml:space="preserve"> PAGEREF _Toc184898476 \h </w:instrText>
        </w:r>
        <w:r w:rsidR="00013801">
          <w:rPr>
            <w:noProof/>
            <w:webHidden/>
          </w:rPr>
        </w:r>
        <w:r w:rsidR="00013801">
          <w:rPr>
            <w:noProof/>
            <w:webHidden/>
          </w:rPr>
          <w:fldChar w:fldCharType="separate"/>
        </w:r>
        <w:r w:rsidR="000E035E">
          <w:rPr>
            <w:noProof/>
            <w:webHidden/>
          </w:rPr>
          <w:t>1</w:t>
        </w:r>
        <w:r w:rsidR="00013801">
          <w:rPr>
            <w:noProof/>
            <w:webHidden/>
          </w:rPr>
          <w:fldChar w:fldCharType="end"/>
        </w:r>
      </w:hyperlink>
    </w:p>
    <w:p w14:paraId="267D352F" w14:textId="6DABAD0B" w:rsidR="00013801" w:rsidRDefault="00013801">
      <w:pPr>
        <w:pStyle w:val="TM2"/>
        <w:tabs>
          <w:tab w:val="right" w:leader="dot" w:pos="9056"/>
        </w:tabs>
        <w:rPr>
          <w:rFonts w:eastAsiaTheme="minorEastAsia" w:cstheme="minorBidi"/>
          <w:smallCaps w:val="0"/>
          <w:noProof/>
          <w:kern w:val="2"/>
          <w:sz w:val="24"/>
          <w:szCs w:val="24"/>
          <w14:ligatures w14:val="standardContextual"/>
        </w:rPr>
      </w:pPr>
      <w:hyperlink w:anchor="_Toc184898477" w:history="1">
        <w:r w:rsidRPr="000D59F7">
          <w:rPr>
            <w:rStyle w:val="Lienhypertexte"/>
            <w:noProof/>
          </w:rPr>
          <w:t>Résumé</w:t>
        </w:r>
        <w:r>
          <w:rPr>
            <w:noProof/>
            <w:webHidden/>
          </w:rPr>
          <w:tab/>
        </w:r>
        <w:r>
          <w:rPr>
            <w:noProof/>
            <w:webHidden/>
          </w:rPr>
          <w:fldChar w:fldCharType="begin"/>
        </w:r>
        <w:r>
          <w:rPr>
            <w:noProof/>
            <w:webHidden/>
          </w:rPr>
          <w:instrText xml:space="preserve"> PAGEREF _Toc184898477 \h </w:instrText>
        </w:r>
        <w:r>
          <w:rPr>
            <w:noProof/>
            <w:webHidden/>
          </w:rPr>
        </w:r>
        <w:r>
          <w:rPr>
            <w:noProof/>
            <w:webHidden/>
          </w:rPr>
          <w:fldChar w:fldCharType="separate"/>
        </w:r>
        <w:r w:rsidR="000E035E">
          <w:rPr>
            <w:noProof/>
            <w:webHidden/>
          </w:rPr>
          <w:t>1</w:t>
        </w:r>
        <w:r>
          <w:rPr>
            <w:noProof/>
            <w:webHidden/>
          </w:rPr>
          <w:fldChar w:fldCharType="end"/>
        </w:r>
      </w:hyperlink>
    </w:p>
    <w:p w14:paraId="2C6E2444" w14:textId="72B58E8B" w:rsidR="00013801" w:rsidRDefault="00013801">
      <w:pPr>
        <w:pStyle w:val="TM2"/>
        <w:tabs>
          <w:tab w:val="right" w:leader="dot" w:pos="9056"/>
        </w:tabs>
        <w:rPr>
          <w:rFonts w:eastAsiaTheme="minorEastAsia" w:cstheme="minorBidi"/>
          <w:smallCaps w:val="0"/>
          <w:noProof/>
          <w:kern w:val="2"/>
          <w:sz w:val="24"/>
          <w:szCs w:val="24"/>
          <w14:ligatures w14:val="standardContextual"/>
        </w:rPr>
      </w:pPr>
      <w:hyperlink w:anchor="_Toc184898478" w:history="1">
        <w:r w:rsidRPr="000D59F7">
          <w:rPr>
            <w:rStyle w:val="Lienhypertexte"/>
            <w:noProof/>
          </w:rPr>
          <w:t>Table des matières</w:t>
        </w:r>
        <w:r>
          <w:rPr>
            <w:noProof/>
            <w:webHidden/>
          </w:rPr>
          <w:tab/>
        </w:r>
        <w:r>
          <w:rPr>
            <w:noProof/>
            <w:webHidden/>
          </w:rPr>
          <w:fldChar w:fldCharType="begin"/>
        </w:r>
        <w:r>
          <w:rPr>
            <w:noProof/>
            <w:webHidden/>
          </w:rPr>
          <w:instrText xml:space="preserve"> PAGEREF _Toc184898478 \h </w:instrText>
        </w:r>
        <w:r>
          <w:rPr>
            <w:noProof/>
            <w:webHidden/>
          </w:rPr>
        </w:r>
        <w:r>
          <w:rPr>
            <w:noProof/>
            <w:webHidden/>
          </w:rPr>
          <w:fldChar w:fldCharType="separate"/>
        </w:r>
        <w:r w:rsidR="000E035E">
          <w:rPr>
            <w:noProof/>
            <w:webHidden/>
          </w:rPr>
          <w:t>2</w:t>
        </w:r>
        <w:r>
          <w:rPr>
            <w:noProof/>
            <w:webHidden/>
          </w:rPr>
          <w:fldChar w:fldCharType="end"/>
        </w:r>
      </w:hyperlink>
    </w:p>
    <w:p w14:paraId="18721687" w14:textId="6E9E439C" w:rsidR="00013801" w:rsidRDefault="00013801">
      <w:pPr>
        <w:pStyle w:val="TM2"/>
        <w:tabs>
          <w:tab w:val="right" w:leader="dot" w:pos="9056"/>
        </w:tabs>
        <w:rPr>
          <w:rFonts w:eastAsiaTheme="minorEastAsia" w:cstheme="minorBidi"/>
          <w:smallCaps w:val="0"/>
          <w:noProof/>
          <w:kern w:val="2"/>
          <w:sz w:val="24"/>
          <w:szCs w:val="24"/>
          <w14:ligatures w14:val="standardContextual"/>
        </w:rPr>
      </w:pPr>
      <w:hyperlink w:anchor="_Toc184898479" w:history="1">
        <w:r w:rsidRPr="000D59F7">
          <w:rPr>
            <w:rStyle w:val="Lienhypertexte"/>
            <w:noProof/>
          </w:rPr>
          <w:t>Contexte</w:t>
        </w:r>
        <w:r>
          <w:rPr>
            <w:noProof/>
            <w:webHidden/>
          </w:rPr>
          <w:tab/>
        </w:r>
        <w:r>
          <w:rPr>
            <w:noProof/>
            <w:webHidden/>
          </w:rPr>
          <w:fldChar w:fldCharType="begin"/>
        </w:r>
        <w:r>
          <w:rPr>
            <w:noProof/>
            <w:webHidden/>
          </w:rPr>
          <w:instrText xml:space="preserve"> PAGEREF _Toc184898479 \h </w:instrText>
        </w:r>
        <w:r>
          <w:rPr>
            <w:noProof/>
            <w:webHidden/>
          </w:rPr>
        </w:r>
        <w:r>
          <w:rPr>
            <w:noProof/>
            <w:webHidden/>
          </w:rPr>
          <w:fldChar w:fldCharType="separate"/>
        </w:r>
        <w:r w:rsidR="000E035E">
          <w:rPr>
            <w:noProof/>
            <w:webHidden/>
          </w:rPr>
          <w:t>3</w:t>
        </w:r>
        <w:r>
          <w:rPr>
            <w:noProof/>
            <w:webHidden/>
          </w:rPr>
          <w:fldChar w:fldCharType="end"/>
        </w:r>
      </w:hyperlink>
    </w:p>
    <w:p w14:paraId="6BD6FA01" w14:textId="1D7F22B9" w:rsidR="00013801" w:rsidRDefault="00013801">
      <w:pPr>
        <w:pStyle w:val="TM3"/>
        <w:tabs>
          <w:tab w:val="right" w:leader="dot" w:pos="9056"/>
        </w:tabs>
        <w:rPr>
          <w:rFonts w:eastAsiaTheme="minorEastAsia" w:cstheme="minorBidi"/>
          <w:i w:val="0"/>
          <w:iCs w:val="0"/>
          <w:noProof/>
          <w:kern w:val="2"/>
          <w:sz w:val="24"/>
          <w:szCs w:val="24"/>
          <w14:ligatures w14:val="standardContextual"/>
        </w:rPr>
      </w:pPr>
      <w:hyperlink w:anchor="_Toc184898480" w:history="1">
        <w:r w:rsidRPr="000D59F7">
          <w:rPr>
            <w:rStyle w:val="Lienhypertexte"/>
            <w:noProof/>
          </w:rPr>
          <w:t>Liens entre vocabulaire, handicap et pensée</w:t>
        </w:r>
        <w:r>
          <w:rPr>
            <w:noProof/>
            <w:webHidden/>
          </w:rPr>
          <w:tab/>
        </w:r>
        <w:r>
          <w:rPr>
            <w:noProof/>
            <w:webHidden/>
          </w:rPr>
          <w:fldChar w:fldCharType="begin"/>
        </w:r>
        <w:r>
          <w:rPr>
            <w:noProof/>
            <w:webHidden/>
          </w:rPr>
          <w:instrText xml:space="preserve"> PAGEREF _Toc184898480 \h </w:instrText>
        </w:r>
        <w:r>
          <w:rPr>
            <w:noProof/>
            <w:webHidden/>
          </w:rPr>
        </w:r>
        <w:r>
          <w:rPr>
            <w:noProof/>
            <w:webHidden/>
          </w:rPr>
          <w:fldChar w:fldCharType="separate"/>
        </w:r>
        <w:r w:rsidR="000E035E">
          <w:rPr>
            <w:noProof/>
            <w:webHidden/>
          </w:rPr>
          <w:t>3</w:t>
        </w:r>
        <w:r>
          <w:rPr>
            <w:noProof/>
            <w:webHidden/>
          </w:rPr>
          <w:fldChar w:fldCharType="end"/>
        </w:r>
      </w:hyperlink>
    </w:p>
    <w:p w14:paraId="3141E4B6" w14:textId="45A7BD8E" w:rsidR="00013801" w:rsidRDefault="00013801">
      <w:pPr>
        <w:pStyle w:val="TM3"/>
        <w:tabs>
          <w:tab w:val="right" w:leader="dot" w:pos="9056"/>
        </w:tabs>
        <w:rPr>
          <w:rFonts w:eastAsiaTheme="minorEastAsia" w:cstheme="minorBidi"/>
          <w:i w:val="0"/>
          <w:iCs w:val="0"/>
          <w:noProof/>
          <w:kern w:val="2"/>
          <w:sz w:val="24"/>
          <w:szCs w:val="24"/>
          <w14:ligatures w14:val="standardContextual"/>
        </w:rPr>
      </w:pPr>
      <w:hyperlink w:anchor="_Toc184898481" w:history="1">
        <w:r w:rsidRPr="000D59F7">
          <w:rPr>
            <w:rStyle w:val="Lienhypertexte"/>
            <w:noProof/>
          </w:rPr>
          <w:t>Évolution des éléments de langage liés au handicap dans la législation française et internationale</w:t>
        </w:r>
        <w:r>
          <w:rPr>
            <w:noProof/>
            <w:webHidden/>
          </w:rPr>
          <w:tab/>
        </w:r>
        <w:r>
          <w:rPr>
            <w:noProof/>
            <w:webHidden/>
          </w:rPr>
          <w:fldChar w:fldCharType="begin"/>
        </w:r>
        <w:r>
          <w:rPr>
            <w:noProof/>
            <w:webHidden/>
          </w:rPr>
          <w:instrText xml:space="preserve"> PAGEREF _Toc184898481 \h </w:instrText>
        </w:r>
        <w:r>
          <w:rPr>
            <w:noProof/>
            <w:webHidden/>
          </w:rPr>
        </w:r>
        <w:r>
          <w:rPr>
            <w:noProof/>
            <w:webHidden/>
          </w:rPr>
          <w:fldChar w:fldCharType="separate"/>
        </w:r>
        <w:r w:rsidR="000E035E">
          <w:rPr>
            <w:noProof/>
            <w:webHidden/>
          </w:rPr>
          <w:t>4</w:t>
        </w:r>
        <w:r>
          <w:rPr>
            <w:noProof/>
            <w:webHidden/>
          </w:rPr>
          <w:fldChar w:fldCharType="end"/>
        </w:r>
      </w:hyperlink>
    </w:p>
    <w:p w14:paraId="47EFE6C5" w14:textId="0A583676" w:rsidR="00013801" w:rsidRDefault="00013801">
      <w:pPr>
        <w:pStyle w:val="TM3"/>
        <w:tabs>
          <w:tab w:val="right" w:leader="dot" w:pos="9056"/>
        </w:tabs>
        <w:rPr>
          <w:rFonts w:eastAsiaTheme="minorEastAsia" w:cstheme="minorBidi"/>
          <w:i w:val="0"/>
          <w:iCs w:val="0"/>
          <w:noProof/>
          <w:kern w:val="2"/>
          <w:sz w:val="24"/>
          <w:szCs w:val="24"/>
          <w14:ligatures w14:val="standardContextual"/>
        </w:rPr>
      </w:pPr>
      <w:hyperlink w:anchor="_Toc184898482" w:history="1">
        <w:r w:rsidRPr="000D59F7">
          <w:rPr>
            <w:rStyle w:val="Lienhypertexte"/>
            <w:noProof/>
          </w:rPr>
          <w:t>Utilisations et usages parmi les personnes concernées par le handicap</w:t>
        </w:r>
        <w:r>
          <w:rPr>
            <w:noProof/>
            <w:webHidden/>
          </w:rPr>
          <w:tab/>
        </w:r>
        <w:r>
          <w:rPr>
            <w:noProof/>
            <w:webHidden/>
          </w:rPr>
          <w:fldChar w:fldCharType="begin"/>
        </w:r>
        <w:r>
          <w:rPr>
            <w:noProof/>
            <w:webHidden/>
          </w:rPr>
          <w:instrText xml:space="preserve"> PAGEREF _Toc184898482 \h </w:instrText>
        </w:r>
        <w:r>
          <w:rPr>
            <w:noProof/>
            <w:webHidden/>
          </w:rPr>
        </w:r>
        <w:r>
          <w:rPr>
            <w:noProof/>
            <w:webHidden/>
          </w:rPr>
          <w:fldChar w:fldCharType="separate"/>
        </w:r>
        <w:r w:rsidR="000E035E">
          <w:rPr>
            <w:noProof/>
            <w:webHidden/>
          </w:rPr>
          <w:t>6</w:t>
        </w:r>
        <w:r>
          <w:rPr>
            <w:noProof/>
            <w:webHidden/>
          </w:rPr>
          <w:fldChar w:fldCharType="end"/>
        </w:r>
      </w:hyperlink>
    </w:p>
    <w:p w14:paraId="5974E670" w14:textId="12A526E8" w:rsidR="00013801" w:rsidRDefault="00013801">
      <w:pPr>
        <w:pStyle w:val="TM3"/>
        <w:tabs>
          <w:tab w:val="right" w:leader="dot" w:pos="9056"/>
        </w:tabs>
        <w:rPr>
          <w:rFonts w:eastAsiaTheme="minorEastAsia" w:cstheme="minorBidi"/>
          <w:i w:val="0"/>
          <w:iCs w:val="0"/>
          <w:noProof/>
          <w:kern w:val="2"/>
          <w:sz w:val="24"/>
          <w:szCs w:val="24"/>
          <w14:ligatures w14:val="standardContextual"/>
        </w:rPr>
      </w:pPr>
      <w:hyperlink w:anchor="_Toc184898483" w:history="1">
        <w:r w:rsidRPr="000D59F7">
          <w:rPr>
            <w:rStyle w:val="Lienhypertexte"/>
            <w:noProof/>
          </w:rPr>
          <w:t>Démarche d’Access42</w:t>
        </w:r>
        <w:r>
          <w:rPr>
            <w:noProof/>
            <w:webHidden/>
          </w:rPr>
          <w:tab/>
        </w:r>
        <w:r>
          <w:rPr>
            <w:noProof/>
            <w:webHidden/>
          </w:rPr>
          <w:fldChar w:fldCharType="begin"/>
        </w:r>
        <w:r>
          <w:rPr>
            <w:noProof/>
            <w:webHidden/>
          </w:rPr>
          <w:instrText xml:space="preserve"> PAGEREF _Toc184898483 \h </w:instrText>
        </w:r>
        <w:r>
          <w:rPr>
            <w:noProof/>
            <w:webHidden/>
          </w:rPr>
        </w:r>
        <w:r>
          <w:rPr>
            <w:noProof/>
            <w:webHidden/>
          </w:rPr>
          <w:fldChar w:fldCharType="separate"/>
        </w:r>
        <w:r w:rsidR="000E035E">
          <w:rPr>
            <w:noProof/>
            <w:webHidden/>
          </w:rPr>
          <w:t>8</w:t>
        </w:r>
        <w:r>
          <w:rPr>
            <w:noProof/>
            <w:webHidden/>
          </w:rPr>
          <w:fldChar w:fldCharType="end"/>
        </w:r>
      </w:hyperlink>
    </w:p>
    <w:p w14:paraId="74B92C7A" w14:textId="1A39EE38" w:rsidR="00013801" w:rsidRDefault="00013801">
      <w:pPr>
        <w:pStyle w:val="TM2"/>
        <w:tabs>
          <w:tab w:val="right" w:leader="dot" w:pos="9056"/>
        </w:tabs>
        <w:rPr>
          <w:rFonts w:eastAsiaTheme="minorEastAsia" w:cstheme="minorBidi"/>
          <w:smallCaps w:val="0"/>
          <w:noProof/>
          <w:kern w:val="2"/>
          <w:sz w:val="24"/>
          <w:szCs w:val="24"/>
          <w14:ligatures w14:val="standardContextual"/>
        </w:rPr>
      </w:pPr>
      <w:hyperlink w:anchor="_Toc184898484" w:history="1">
        <w:r w:rsidRPr="000D59F7">
          <w:rPr>
            <w:rStyle w:val="Lienhypertexte"/>
            <w:noProof/>
          </w:rPr>
          <w:t>Méthodologie</w:t>
        </w:r>
        <w:r>
          <w:rPr>
            <w:noProof/>
            <w:webHidden/>
          </w:rPr>
          <w:tab/>
        </w:r>
        <w:r>
          <w:rPr>
            <w:noProof/>
            <w:webHidden/>
          </w:rPr>
          <w:fldChar w:fldCharType="begin"/>
        </w:r>
        <w:r>
          <w:rPr>
            <w:noProof/>
            <w:webHidden/>
          </w:rPr>
          <w:instrText xml:space="preserve"> PAGEREF _Toc184898484 \h </w:instrText>
        </w:r>
        <w:r>
          <w:rPr>
            <w:noProof/>
            <w:webHidden/>
          </w:rPr>
        </w:r>
        <w:r>
          <w:rPr>
            <w:noProof/>
            <w:webHidden/>
          </w:rPr>
          <w:fldChar w:fldCharType="separate"/>
        </w:r>
        <w:r w:rsidR="000E035E">
          <w:rPr>
            <w:noProof/>
            <w:webHidden/>
          </w:rPr>
          <w:t>9</w:t>
        </w:r>
        <w:r>
          <w:rPr>
            <w:noProof/>
            <w:webHidden/>
          </w:rPr>
          <w:fldChar w:fldCharType="end"/>
        </w:r>
      </w:hyperlink>
    </w:p>
    <w:p w14:paraId="7EEC43B2" w14:textId="5967F93D" w:rsidR="00013801" w:rsidRDefault="00013801">
      <w:pPr>
        <w:pStyle w:val="TM3"/>
        <w:tabs>
          <w:tab w:val="right" w:leader="dot" w:pos="9056"/>
        </w:tabs>
        <w:rPr>
          <w:rFonts w:eastAsiaTheme="minorEastAsia" w:cstheme="minorBidi"/>
          <w:i w:val="0"/>
          <w:iCs w:val="0"/>
          <w:noProof/>
          <w:kern w:val="2"/>
          <w:sz w:val="24"/>
          <w:szCs w:val="24"/>
          <w14:ligatures w14:val="standardContextual"/>
        </w:rPr>
      </w:pPr>
      <w:hyperlink w:anchor="_Toc184898485" w:history="1">
        <w:r w:rsidRPr="000D59F7">
          <w:rPr>
            <w:rStyle w:val="Lienhypertexte"/>
            <w:noProof/>
          </w:rPr>
          <w:t>Objectifs de l’étude</w:t>
        </w:r>
        <w:r>
          <w:rPr>
            <w:noProof/>
            <w:webHidden/>
          </w:rPr>
          <w:tab/>
        </w:r>
        <w:r>
          <w:rPr>
            <w:noProof/>
            <w:webHidden/>
          </w:rPr>
          <w:fldChar w:fldCharType="begin"/>
        </w:r>
        <w:r>
          <w:rPr>
            <w:noProof/>
            <w:webHidden/>
          </w:rPr>
          <w:instrText xml:space="preserve"> PAGEREF _Toc184898485 \h </w:instrText>
        </w:r>
        <w:r>
          <w:rPr>
            <w:noProof/>
            <w:webHidden/>
          </w:rPr>
        </w:r>
        <w:r>
          <w:rPr>
            <w:noProof/>
            <w:webHidden/>
          </w:rPr>
          <w:fldChar w:fldCharType="separate"/>
        </w:r>
        <w:r w:rsidR="000E035E">
          <w:rPr>
            <w:noProof/>
            <w:webHidden/>
          </w:rPr>
          <w:t>9</w:t>
        </w:r>
        <w:r>
          <w:rPr>
            <w:noProof/>
            <w:webHidden/>
          </w:rPr>
          <w:fldChar w:fldCharType="end"/>
        </w:r>
      </w:hyperlink>
    </w:p>
    <w:p w14:paraId="48EDFBC6" w14:textId="2C3087A7" w:rsidR="00013801" w:rsidRDefault="00013801">
      <w:pPr>
        <w:pStyle w:val="TM3"/>
        <w:tabs>
          <w:tab w:val="right" w:leader="dot" w:pos="9056"/>
        </w:tabs>
        <w:rPr>
          <w:rFonts w:eastAsiaTheme="minorEastAsia" w:cstheme="minorBidi"/>
          <w:i w:val="0"/>
          <w:iCs w:val="0"/>
          <w:noProof/>
          <w:kern w:val="2"/>
          <w:sz w:val="24"/>
          <w:szCs w:val="24"/>
          <w14:ligatures w14:val="standardContextual"/>
        </w:rPr>
      </w:pPr>
      <w:hyperlink w:anchor="_Toc184898486" w:history="1">
        <w:r w:rsidRPr="000D59F7">
          <w:rPr>
            <w:rStyle w:val="Lienhypertexte"/>
            <w:noProof/>
          </w:rPr>
          <w:t>Création du questionnaire</w:t>
        </w:r>
        <w:r>
          <w:rPr>
            <w:noProof/>
            <w:webHidden/>
          </w:rPr>
          <w:tab/>
        </w:r>
        <w:r>
          <w:rPr>
            <w:noProof/>
            <w:webHidden/>
          </w:rPr>
          <w:fldChar w:fldCharType="begin"/>
        </w:r>
        <w:r>
          <w:rPr>
            <w:noProof/>
            <w:webHidden/>
          </w:rPr>
          <w:instrText xml:space="preserve"> PAGEREF _Toc184898486 \h </w:instrText>
        </w:r>
        <w:r>
          <w:rPr>
            <w:noProof/>
            <w:webHidden/>
          </w:rPr>
        </w:r>
        <w:r>
          <w:rPr>
            <w:noProof/>
            <w:webHidden/>
          </w:rPr>
          <w:fldChar w:fldCharType="separate"/>
        </w:r>
        <w:r w:rsidR="000E035E">
          <w:rPr>
            <w:noProof/>
            <w:webHidden/>
          </w:rPr>
          <w:t>9</w:t>
        </w:r>
        <w:r>
          <w:rPr>
            <w:noProof/>
            <w:webHidden/>
          </w:rPr>
          <w:fldChar w:fldCharType="end"/>
        </w:r>
      </w:hyperlink>
    </w:p>
    <w:p w14:paraId="6CE0BB5C" w14:textId="2C27AEDB" w:rsidR="00013801" w:rsidRDefault="00013801">
      <w:pPr>
        <w:pStyle w:val="TM3"/>
        <w:tabs>
          <w:tab w:val="right" w:leader="dot" w:pos="9056"/>
        </w:tabs>
        <w:rPr>
          <w:rFonts w:eastAsiaTheme="minorEastAsia" w:cstheme="minorBidi"/>
          <w:i w:val="0"/>
          <w:iCs w:val="0"/>
          <w:noProof/>
          <w:kern w:val="2"/>
          <w:sz w:val="24"/>
          <w:szCs w:val="24"/>
          <w14:ligatures w14:val="standardContextual"/>
        </w:rPr>
      </w:pPr>
      <w:hyperlink w:anchor="_Toc184898487" w:history="1">
        <w:r w:rsidRPr="000D59F7">
          <w:rPr>
            <w:rStyle w:val="Lienhypertexte"/>
            <w:noProof/>
          </w:rPr>
          <w:t>Canaux de diffusion</w:t>
        </w:r>
        <w:r>
          <w:rPr>
            <w:noProof/>
            <w:webHidden/>
          </w:rPr>
          <w:tab/>
        </w:r>
        <w:r>
          <w:rPr>
            <w:noProof/>
            <w:webHidden/>
          </w:rPr>
          <w:fldChar w:fldCharType="begin"/>
        </w:r>
        <w:r>
          <w:rPr>
            <w:noProof/>
            <w:webHidden/>
          </w:rPr>
          <w:instrText xml:space="preserve"> PAGEREF _Toc184898487 \h </w:instrText>
        </w:r>
        <w:r>
          <w:rPr>
            <w:noProof/>
            <w:webHidden/>
          </w:rPr>
        </w:r>
        <w:r>
          <w:rPr>
            <w:noProof/>
            <w:webHidden/>
          </w:rPr>
          <w:fldChar w:fldCharType="separate"/>
        </w:r>
        <w:r w:rsidR="000E035E">
          <w:rPr>
            <w:noProof/>
            <w:webHidden/>
          </w:rPr>
          <w:t>10</w:t>
        </w:r>
        <w:r>
          <w:rPr>
            <w:noProof/>
            <w:webHidden/>
          </w:rPr>
          <w:fldChar w:fldCharType="end"/>
        </w:r>
      </w:hyperlink>
    </w:p>
    <w:p w14:paraId="0480AFDD" w14:textId="6BDAAC74" w:rsidR="00013801" w:rsidRDefault="00013801">
      <w:pPr>
        <w:pStyle w:val="TM2"/>
        <w:tabs>
          <w:tab w:val="right" w:leader="dot" w:pos="9056"/>
        </w:tabs>
        <w:rPr>
          <w:rFonts w:eastAsiaTheme="minorEastAsia" w:cstheme="minorBidi"/>
          <w:smallCaps w:val="0"/>
          <w:noProof/>
          <w:kern w:val="2"/>
          <w:sz w:val="24"/>
          <w:szCs w:val="24"/>
          <w14:ligatures w14:val="standardContextual"/>
        </w:rPr>
      </w:pPr>
      <w:hyperlink w:anchor="_Toc184898488" w:history="1">
        <w:r w:rsidRPr="000D59F7">
          <w:rPr>
            <w:rStyle w:val="Lienhypertexte"/>
            <w:noProof/>
          </w:rPr>
          <w:t>Résultats</w:t>
        </w:r>
        <w:r>
          <w:rPr>
            <w:noProof/>
            <w:webHidden/>
          </w:rPr>
          <w:tab/>
        </w:r>
        <w:r>
          <w:rPr>
            <w:noProof/>
            <w:webHidden/>
          </w:rPr>
          <w:fldChar w:fldCharType="begin"/>
        </w:r>
        <w:r>
          <w:rPr>
            <w:noProof/>
            <w:webHidden/>
          </w:rPr>
          <w:instrText xml:space="preserve"> PAGEREF _Toc184898488 \h </w:instrText>
        </w:r>
        <w:r>
          <w:rPr>
            <w:noProof/>
            <w:webHidden/>
          </w:rPr>
        </w:r>
        <w:r>
          <w:rPr>
            <w:noProof/>
            <w:webHidden/>
          </w:rPr>
          <w:fldChar w:fldCharType="separate"/>
        </w:r>
        <w:r w:rsidR="000E035E">
          <w:rPr>
            <w:noProof/>
            <w:webHidden/>
          </w:rPr>
          <w:t>10</w:t>
        </w:r>
        <w:r>
          <w:rPr>
            <w:noProof/>
            <w:webHidden/>
          </w:rPr>
          <w:fldChar w:fldCharType="end"/>
        </w:r>
      </w:hyperlink>
    </w:p>
    <w:p w14:paraId="57E75314" w14:textId="29FECA4E" w:rsidR="00013801" w:rsidRDefault="00013801">
      <w:pPr>
        <w:pStyle w:val="TM3"/>
        <w:tabs>
          <w:tab w:val="right" w:leader="dot" w:pos="9056"/>
        </w:tabs>
        <w:rPr>
          <w:rFonts w:eastAsiaTheme="minorEastAsia" w:cstheme="minorBidi"/>
          <w:i w:val="0"/>
          <w:iCs w:val="0"/>
          <w:noProof/>
          <w:kern w:val="2"/>
          <w:sz w:val="24"/>
          <w:szCs w:val="24"/>
          <w14:ligatures w14:val="standardContextual"/>
        </w:rPr>
      </w:pPr>
      <w:hyperlink w:anchor="_Toc184898489" w:history="1">
        <w:r w:rsidRPr="000D59F7">
          <w:rPr>
            <w:rStyle w:val="Lienhypertexte"/>
            <w:noProof/>
          </w:rPr>
          <w:t>Description du panel</w:t>
        </w:r>
        <w:r>
          <w:rPr>
            <w:noProof/>
            <w:webHidden/>
          </w:rPr>
          <w:tab/>
        </w:r>
        <w:r>
          <w:rPr>
            <w:noProof/>
            <w:webHidden/>
          </w:rPr>
          <w:fldChar w:fldCharType="begin"/>
        </w:r>
        <w:r>
          <w:rPr>
            <w:noProof/>
            <w:webHidden/>
          </w:rPr>
          <w:instrText xml:space="preserve"> PAGEREF _Toc184898489 \h </w:instrText>
        </w:r>
        <w:r>
          <w:rPr>
            <w:noProof/>
            <w:webHidden/>
          </w:rPr>
        </w:r>
        <w:r>
          <w:rPr>
            <w:noProof/>
            <w:webHidden/>
          </w:rPr>
          <w:fldChar w:fldCharType="separate"/>
        </w:r>
        <w:r w:rsidR="000E035E">
          <w:rPr>
            <w:noProof/>
            <w:webHidden/>
          </w:rPr>
          <w:t>10</w:t>
        </w:r>
        <w:r>
          <w:rPr>
            <w:noProof/>
            <w:webHidden/>
          </w:rPr>
          <w:fldChar w:fldCharType="end"/>
        </w:r>
      </w:hyperlink>
    </w:p>
    <w:p w14:paraId="606AFD08" w14:textId="218C0962" w:rsidR="00013801" w:rsidRDefault="00013801">
      <w:pPr>
        <w:pStyle w:val="TM3"/>
        <w:tabs>
          <w:tab w:val="right" w:leader="dot" w:pos="9056"/>
        </w:tabs>
        <w:rPr>
          <w:rFonts w:eastAsiaTheme="minorEastAsia" w:cstheme="minorBidi"/>
          <w:i w:val="0"/>
          <w:iCs w:val="0"/>
          <w:noProof/>
          <w:kern w:val="2"/>
          <w:sz w:val="24"/>
          <w:szCs w:val="24"/>
          <w14:ligatures w14:val="standardContextual"/>
        </w:rPr>
      </w:pPr>
      <w:hyperlink w:anchor="_Toc184898490" w:history="1">
        <w:r w:rsidRPr="000D59F7">
          <w:rPr>
            <w:rStyle w:val="Lienhypertexte"/>
            <w:noProof/>
          </w:rPr>
          <w:t>Résultats et analyse</w:t>
        </w:r>
        <w:r>
          <w:rPr>
            <w:noProof/>
            <w:webHidden/>
          </w:rPr>
          <w:tab/>
        </w:r>
        <w:r>
          <w:rPr>
            <w:noProof/>
            <w:webHidden/>
          </w:rPr>
          <w:fldChar w:fldCharType="begin"/>
        </w:r>
        <w:r>
          <w:rPr>
            <w:noProof/>
            <w:webHidden/>
          </w:rPr>
          <w:instrText xml:space="preserve"> PAGEREF _Toc184898490 \h </w:instrText>
        </w:r>
        <w:r>
          <w:rPr>
            <w:noProof/>
            <w:webHidden/>
          </w:rPr>
        </w:r>
        <w:r>
          <w:rPr>
            <w:noProof/>
            <w:webHidden/>
          </w:rPr>
          <w:fldChar w:fldCharType="separate"/>
        </w:r>
        <w:r w:rsidR="000E035E">
          <w:rPr>
            <w:noProof/>
            <w:webHidden/>
          </w:rPr>
          <w:t>12</w:t>
        </w:r>
        <w:r>
          <w:rPr>
            <w:noProof/>
            <w:webHidden/>
          </w:rPr>
          <w:fldChar w:fldCharType="end"/>
        </w:r>
      </w:hyperlink>
    </w:p>
    <w:p w14:paraId="037A02C9" w14:textId="4EEC1C11" w:rsidR="00013801" w:rsidRDefault="00013801">
      <w:pPr>
        <w:pStyle w:val="TM2"/>
        <w:tabs>
          <w:tab w:val="right" w:leader="dot" w:pos="9056"/>
        </w:tabs>
        <w:rPr>
          <w:rFonts w:eastAsiaTheme="minorEastAsia" w:cstheme="minorBidi"/>
          <w:smallCaps w:val="0"/>
          <w:noProof/>
          <w:kern w:val="2"/>
          <w:sz w:val="24"/>
          <w:szCs w:val="24"/>
          <w14:ligatures w14:val="standardContextual"/>
        </w:rPr>
      </w:pPr>
      <w:hyperlink w:anchor="_Toc184898491" w:history="1">
        <w:r w:rsidRPr="000D59F7">
          <w:rPr>
            <w:rStyle w:val="Lienhypertexte"/>
            <w:noProof/>
          </w:rPr>
          <w:t>Interprétation des résultats de l’étude</w:t>
        </w:r>
        <w:r>
          <w:rPr>
            <w:noProof/>
            <w:webHidden/>
          </w:rPr>
          <w:tab/>
        </w:r>
        <w:r>
          <w:rPr>
            <w:noProof/>
            <w:webHidden/>
          </w:rPr>
          <w:fldChar w:fldCharType="begin"/>
        </w:r>
        <w:r>
          <w:rPr>
            <w:noProof/>
            <w:webHidden/>
          </w:rPr>
          <w:instrText xml:space="preserve"> PAGEREF _Toc184898491 \h </w:instrText>
        </w:r>
        <w:r>
          <w:rPr>
            <w:noProof/>
            <w:webHidden/>
          </w:rPr>
        </w:r>
        <w:r>
          <w:rPr>
            <w:noProof/>
            <w:webHidden/>
          </w:rPr>
          <w:fldChar w:fldCharType="separate"/>
        </w:r>
        <w:r w:rsidR="000E035E">
          <w:rPr>
            <w:noProof/>
            <w:webHidden/>
          </w:rPr>
          <w:t>17</w:t>
        </w:r>
        <w:r>
          <w:rPr>
            <w:noProof/>
            <w:webHidden/>
          </w:rPr>
          <w:fldChar w:fldCharType="end"/>
        </w:r>
      </w:hyperlink>
    </w:p>
    <w:p w14:paraId="7AC99B8D" w14:textId="6DA0230A" w:rsidR="00013801" w:rsidRDefault="00013801">
      <w:pPr>
        <w:pStyle w:val="TM3"/>
        <w:tabs>
          <w:tab w:val="right" w:leader="dot" w:pos="9056"/>
        </w:tabs>
        <w:rPr>
          <w:rFonts w:eastAsiaTheme="minorEastAsia" w:cstheme="minorBidi"/>
          <w:i w:val="0"/>
          <w:iCs w:val="0"/>
          <w:noProof/>
          <w:kern w:val="2"/>
          <w:sz w:val="24"/>
          <w:szCs w:val="24"/>
          <w14:ligatures w14:val="standardContextual"/>
        </w:rPr>
      </w:pPr>
      <w:hyperlink w:anchor="_Toc184898492" w:history="1">
        <w:r w:rsidRPr="000D59F7">
          <w:rPr>
            <w:rStyle w:val="Lienhypertexte"/>
            <w:noProof/>
          </w:rPr>
          <w:t>Absence de consensus sur les termes à utiliser pour désigner les personnes « avec handicap »</w:t>
        </w:r>
        <w:r>
          <w:rPr>
            <w:noProof/>
            <w:webHidden/>
          </w:rPr>
          <w:tab/>
        </w:r>
        <w:r>
          <w:rPr>
            <w:noProof/>
            <w:webHidden/>
          </w:rPr>
          <w:fldChar w:fldCharType="begin"/>
        </w:r>
        <w:r>
          <w:rPr>
            <w:noProof/>
            <w:webHidden/>
          </w:rPr>
          <w:instrText xml:space="preserve"> PAGEREF _Toc184898492 \h </w:instrText>
        </w:r>
        <w:r>
          <w:rPr>
            <w:noProof/>
            <w:webHidden/>
          </w:rPr>
        </w:r>
        <w:r>
          <w:rPr>
            <w:noProof/>
            <w:webHidden/>
          </w:rPr>
          <w:fldChar w:fldCharType="separate"/>
        </w:r>
        <w:r w:rsidR="000E035E">
          <w:rPr>
            <w:noProof/>
            <w:webHidden/>
          </w:rPr>
          <w:t>17</w:t>
        </w:r>
        <w:r>
          <w:rPr>
            <w:noProof/>
            <w:webHidden/>
          </w:rPr>
          <w:fldChar w:fldCharType="end"/>
        </w:r>
      </w:hyperlink>
    </w:p>
    <w:p w14:paraId="23617BD1" w14:textId="1B8D6FAB" w:rsidR="00013801" w:rsidRDefault="00013801">
      <w:pPr>
        <w:pStyle w:val="TM3"/>
        <w:tabs>
          <w:tab w:val="right" w:leader="dot" w:pos="9056"/>
        </w:tabs>
        <w:rPr>
          <w:rFonts w:eastAsiaTheme="minorEastAsia" w:cstheme="minorBidi"/>
          <w:i w:val="0"/>
          <w:iCs w:val="0"/>
          <w:noProof/>
          <w:kern w:val="2"/>
          <w:sz w:val="24"/>
          <w:szCs w:val="24"/>
          <w14:ligatures w14:val="standardContextual"/>
        </w:rPr>
      </w:pPr>
      <w:hyperlink w:anchor="_Toc184898493" w:history="1">
        <w:r w:rsidRPr="000D59F7">
          <w:rPr>
            <w:rStyle w:val="Lienhypertexte"/>
            <w:noProof/>
          </w:rPr>
          <w:t>Quasi-consensus sur les termes à ne pas utiliser pour désigner les personnes « avec handicap »</w:t>
        </w:r>
        <w:r>
          <w:rPr>
            <w:noProof/>
            <w:webHidden/>
          </w:rPr>
          <w:tab/>
        </w:r>
        <w:r>
          <w:rPr>
            <w:noProof/>
            <w:webHidden/>
          </w:rPr>
          <w:fldChar w:fldCharType="begin"/>
        </w:r>
        <w:r>
          <w:rPr>
            <w:noProof/>
            <w:webHidden/>
          </w:rPr>
          <w:instrText xml:space="preserve"> PAGEREF _Toc184898493 \h </w:instrText>
        </w:r>
        <w:r>
          <w:rPr>
            <w:noProof/>
            <w:webHidden/>
          </w:rPr>
        </w:r>
        <w:r>
          <w:rPr>
            <w:noProof/>
            <w:webHidden/>
          </w:rPr>
          <w:fldChar w:fldCharType="separate"/>
        </w:r>
        <w:r w:rsidR="000E035E">
          <w:rPr>
            <w:noProof/>
            <w:webHidden/>
          </w:rPr>
          <w:t>18</w:t>
        </w:r>
        <w:r>
          <w:rPr>
            <w:noProof/>
            <w:webHidden/>
          </w:rPr>
          <w:fldChar w:fldCharType="end"/>
        </w:r>
      </w:hyperlink>
    </w:p>
    <w:p w14:paraId="6DD7C3AF" w14:textId="61C9C7D9" w:rsidR="00013801" w:rsidRDefault="00013801">
      <w:pPr>
        <w:pStyle w:val="TM3"/>
        <w:tabs>
          <w:tab w:val="right" w:leader="dot" w:pos="9056"/>
        </w:tabs>
        <w:rPr>
          <w:rFonts w:eastAsiaTheme="minorEastAsia" w:cstheme="minorBidi"/>
          <w:i w:val="0"/>
          <w:iCs w:val="0"/>
          <w:noProof/>
          <w:kern w:val="2"/>
          <w:sz w:val="24"/>
          <w:szCs w:val="24"/>
          <w14:ligatures w14:val="standardContextual"/>
        </w:rPr>
      </w:pPr>
      <w:hyperlink w:anchor="_Toc184898494" w:history="1">
        <w:r w:rsidRPr="000D59F7">
          <w:rPr>
            <w:rStyle w:val="Lienhypertexte"/>
            <w:noProof/>
          </w:rPr>
          <w:t>Règle d’or : s’adapter aux préférences chaque personne</w:t>
        </w:r>
        <w:r>
          <w:rPr>
            <w:noProof/>
            <w:webHidden/>
          </w:rPr>
          <w:tab/>
        </w:r>
        <w:r>
          <w:rPr>
            <w:noProof/>
            <w:webHidden/>
          </w:rPr>
          <w:fldChar w:fldCharType="begin"/>
        </w:r>
        <w:r>
          <w:rPr>
            <w:noProof/>
            <w:webHidden/>
          </w:rPr>
          <w:instrText xml:space="preserve"> PAGEREF _Toc184898494 \h </w:instrText>
        </w:r>
        <w:r>
          <w:rPr>
            <w:noProof/>
            <w:webHidden/>
          </w:rPr>
        </w:r>
        <w:r>
          <w:rPr>
            <w:noProof/>
            <w:webHidden/>
          </w:rPr>
          <w:fldChar w:fldCharType="separate"/>
        </w:r>
        <w:r w:rsidR="000E035E">
          <w:rPr>
            <w:noProof/>
            <w:webHidden/>
          </w:rPr>
          <w:t>19</w:t>
        </w:r>
        <w:r>
          <w:rPr>
            <w:noProof/>
            <w:webHidden/>
          </w:rPr>
          <w:fldChar w:fldCharType="end"/>
        </w:r>
      </w:hyperlink>
    </w:p>
    <w:p w14:paraId="097B0AB6" w14:textId="50CD3AA7" w:rsidR="00013801" w:rsidRDefault="00013801">
      <w:pPr>
        <w:pStyle w:val="TM3"/>
        <w:tabs>
          <w:tab w:val="right" w:leader="dot" w:pos="9056"/>
        </w:tabs>
        <w:rPr>
          <w:rFonts w:eastAsiaTheme="minorEastAsia" w:cstheme="minorBidi"/>
          <w:i w:val="0"/>
          <w:iCs w:val="0"/>
          <w:noProof/>
          <w:kern w:val="2"/>
          <w:sz w:val="24"/>
          <w:szCs w:val="24"/>
          <w14:ligatures w14:val="standardContextual"/>
        </w:rPr>
      </w:pPr>
      <w:hyperlink w:anchor="_Toc184898495" w:history="1">
        <w:r w:rsidRPr="000D59F7">
          <w:rPr>
            <w:rStyle w:val="Lienhypertexte"/>
            <w:noProof/>
          </w:rPr>
          <w:t>Vers une continuité de l’étude ?</w:t>
        </w:r>
        <w:r>
          <w:rPr>
            <w:noProof/>
            <w:webHidden/>
          </w:rPr>
          <w:tab/>
        </w:r>
        <w:r>
          <w:rPr>
            <w:noProof/>
            <w:webHidden/>
          </w:rPr>
          <w:fldChar w:fldCharType="begin"/>
        </w:r>
        <w:r>
          <w:rPr>
            <w:noProof/>
            <w:webHidden/>
          </w:rPr>
          <w:instrText xml:space="preserve"> PAGEREF _Toc184898495 \h </w:instrText>
        </w:r>
        <w:r>
          <w:rPr>
            <w:noProof/>
            <w:webHidden/>
          </w:rPr>
        </w:r>
        <w:r>
          <w:rPr>
            <w:noProof/>
            <w:webHidden/>
          </w:rPr>
          <w:fldChar w:fldCharType="separate"/>
        </w:r>
        <w:r w:rsidR="000E035E">
          <w:rPr>
            <w:noProof/>
            <w:webHidden/>
          </w:rPr>
          <w:t>19</w:t>
        </w:r>
        <w:r>
          <w:rPr>
            <w:noProof/>
            <w:webHidden/>
          </w:rPr>
          <w:fldChar w:fldCharType="end"/>
        </w:r>
      </w:hyperlink>
    </w:p>
    <w:p w14:paraId="50569E97" w14:textId="53497F79" w:rsidR="00013801" w:rsidRDefault="00013801">
      <w:pPr>
        <w:pStyle w:val="TM2"/>
        <w:tabs>
          <w:tab w:val="right" w:leader="dot" w:pos="9056"/>
        </w:tabs>
        <w:rPr>
          <w:rFonts w:eastAsiaTheme="minorEastAsia" w:cstheme="minorBidi"/>
          <w:smallCaps w:val="0"/>
          <w:noProof/>
          <w:kern w:val="2"/>
          <w:sz w:val="24"/>
          <w:szCs w:val="24"/>
          <w14:ligatures w14:val="standardContextual"/>
        </w:rPr>
      </w:pPr>
      <w:hyperlink w:anchor="_Toc184898496" w:history="1">
        <w:r w:rsidRPr="000D59F7">
          <w:rPr>
            <w:rStyle w:val="Lienhypertexte"/>
            <w:noProof/>
          </w:rPr>
          <w:t>Conclusion</w:t>
        </w:r>
        <w:r>
          <w:rPr>
            <w:noProof/>
            <w:webHidden/>
          </w:rPr>
          <w:tab/>
        </w:r>
        <w:r>
          <w:rPr>
            <w:noProof/>
            <w:webHidden/>
          </w:rPr>
          <w:fldChar w:fldCharType="begin"/>
        </w:r>
        <w:r>
          <w:rPr>
            <w:noProof/>
            <w:webHidden/>
          </w:rPr>
          <w:instrText xml:space="preserve"> PAGEREF _Toc184898496 \h </w:instrText>
        </w:r>
        <w:r>
          <w:rPr>
            <w:noProof/>
            <w:webHidden/>
          </w:rPr>
        </w:r>
        <w:r>
          <w:rPr>
            <w:noProof/>
            <w:webHidden/>
          </w:rPr>
          <w:fldChar w:fldCharType="separate"/>
        </w:r>
        <w:r w:rsidR="000E035E">
          <w:rPr>
            <w:noProof/>
            <w:webHidden/>
          </w:rPr>
          <w:t>19</w:t>
        </w:r>
        <w:r>
          <w:rPr>
            <w:noProof/>
            <w:webHidden/>
          </w:rPr>
          <w:fldChar w:fldCharType="end"/>
        </w:r>
      </w:hyperlink>
    </w:p>
    <w:p w14:paraId="655401EB" w14:textId="260EE2B8" w:rsidR="000E2D12" w:rsidRPr="00DE6A6D" w:rsidRDefault="002E02CC" w:rsidP="002E02CC">
      <w:pPr>
        <w:pStyle w:val="TM2"/>
        <w:rPr>
          <w:rFonts w:eastAsiaTheme="minorEastAsia" w:cstheme="minorBidi"/>
          <w:kern w:val="2"/>
          <w14:ligatures w14:val="standardContextual"/>
        </w:rPr>
      </w:pPr>
      <w:r>
        <w:fldChar w:fldCharType="end"/>
      </w:r>
    </w:p>
    <w:p w14:paraId="62DA8702" w14:textId="77777777" w:rsidR="000E2D12" w:rsidRDefault="000E2D12" w:rsidP="000E2D12">
      <w:pPr>
        <w:spacing w:after="0"/>
        <w:rPr>
          <w:rFonts w:eastAsia="Yu Gothic Light"/>
          <w:b/>
          <w:color w:val="0B1A34"/>
          <w:sz w:val="26"/>
          <w:szCs w:val="32"/>
          <w:lang w:eastAsia="ja-JP"/>
        </w:rPr>
      </w:pPr>
      <w:r>
        <w:br w:type="page"/>
      </w:r>
    </w:p>
    <w:p w14:paraId="747A547B" w14:textId="1B58F2FB" w:rsidR="000E2D12" w:rsidRPr="004E2A37" w:rsidRDefault="000A5143" w:rsidP="000E2D12">
      <w:pPr>
        <w:pStyle w:val="Titre2"/>
      </w:pPr>
      <w:bookmarkStart w:id="5" w:name="_Toc184898479"/>
      <w:r>
        <w:lastRenderedPageBreak/>
        <w:t>Contexte</w:t>
      </w:r>
      <w:bookmarkEnd w:id="5"/>
    </w:p>
    <w:p w14:paraId="1407DD16" w14:textId="14E3CD0A" w:rsidR="000E2D12" w:rsidRDefault="000E2D12" w:rsidP="00200EF0">
      <w:pPr>
        <w:rPr>
          <w:lang w:eastAsia="ja-JP"/>
        </w:rPr>
      </w:pPr>
      <w:r w:rsidRPr="5ACFE68B">
        <w:rPr>
          <w:lang w:eastAsia="ja-JP"/>
        </w:rPr>
        <w:t>Début</w:t>
      </w:r>
      <w:r w:rsidR="00011DD0">
        <w:rPr>
          <w:lang w:eastAsia="ja-JP"/>
        </w:rPr>
        <w:t xml:space="preserve"> </w:t>
      </w:r>
      <w:r w:rsidRPr="5ACFE68B">
        <w:rPr>
          <w:lang w:eastAsia="ja-JP"/>
        </w:rPr>
        <w:t xml:space="preserve">2023, </w:t>
      </w:r>
      <w:r w:rsidRPr="00801A1C">
        <w:rPr>
          <w:b/>
          <w:bCs/>
          <w:lang w:eastAsia="ja-JP"/>
        </w:rPr>
        <w:t>Access42</w:t>
      </w:r>
      <w:r>
        <w:rPr>
          <w:rStyle w:val="Appelnotedebasdep"/>
          <w:b/>
          <w:bCs/>
          <w:lang w:eastAsia="ja-JP"/>
        </w:rPr>
        <w:footnoteReference w:id="2"/>
      </w:r>
      <w:r w:rsidRPr="5ACFE68B">
        <w:rPr>
          <w:lang w:eastAsia="ja-JP"/>
        </w:rPr>
        <w:t xml:space="preserve"> a lancé une enquête en ligne visant à explorer les termes les plus adaptés pour désigner les personnes «</w:t>
      </w:r>
      <w:r w:rsidRPr="5ACFE68B">
        <w:rPr>
          <w:rFonts w:ascii="Arial" w:hAnsi="Arial" w:cs="Arial"/>
          <w:lang w:eastAsia="ja-JP"/>
        </w:rPr>
        <w:t> </w:t>
      </w:r>
      <w:r w:rsidRPr="5ACFE68B">
        <w:rPr>
          <w:lang w:eastAsia="ja-JP"/>
        </w:rPr>
        <w:t>avec handicap</w:t>
      </w:r>
      <w:r w:rsidRPr="5ACFE68B">
        <w:rPr>
          <w:rFonts w:ascii="Arial" w:hAnsi="Arial" w:cs="Arial"/>
          <w:lang w:eastAsia="ja-JP"/>
        </w:rPr>
        <w:t> </w:t>
      </w:r>
      <w:r w:rsidRPr="5ACFE68B">
        <w:rPr>
          <w:lang w:eastAsia="ja-JP"/>
        </w:rPr>
        <w:t>» et «</w:t>
      </w:r>
      <w:r w:rsidRPr="5ACFE68B">
        <w:rPr>
          <w:rFonts w:ascii="Arial" w:hAnsi="Arial" w:cs="Arial"/>
          <w:lang w:eastAsia="ja-JP"/>
        </w:rPr>
        <w:t> </w:t>
      </w:r>
      <w:r w:rsidRPr="5ACFE68B">
        <w:rPr>
          <w:lang w:eastAsia="ja-JP"/>
        </w:rPr>
        <w:t>sans handicap</w:t>
      </w:r>
      <w:r w:rsidRPr="5ACFE68B">
        <w:rPr>
          <w:rFonts w:ascii="Arial" w:hAnsi="Arial" w:cs="Arial"/>
          <w:lang w:eastAsia="ja-JP"/>
        </w:rPr>
        <w:t> </w:t>
      </w:r>
      <w:r w:rsidRPr="5ACFE68B">
        <w:rPr>
          <w:lang w:eastAsia="ja-JP"/>
        </w:rPr>
        <w:t>»</w:t>
      </w:r>
      <w:r w:rsidR="006B1752">
        <w:rPr>
          <w:lang w:eastAsia="ja-JP"/>
        </w:rPr>
        <w:t xml:space="preserve">, </w:t>
      </w:r>
      <w:r w:rsidRPr="5ACFE68B">
        <w:rPr>
          <w:lang w:eastAsia="ja-JP"/>
        </w:rPr>
        <w:t xml:space="preserve">respectivement </w:t>
      </w:r>
      <w:r w:rsidR="006B1752">
        <w:rPr>
          <w:lang w:eastAsia="ja-JP"/>
        </w:rPr>
        <w:t xml:space="preserve">nommées </w:t>
      </w:r>
      <w:r w:rsidRPr="5ACFE68B">
        <w:rPr>
          <w:lang w:eastAsia="ja-JP"/>
        </w:rPr>
        <w:t>PSH (personnes en situation de handicap) et NPSH (personnes n’étant pas en situation de handicap) dans ce rapport.</w:t>
      </w:r>
    </w:p>
    <w:p w14:paraId="0CB945C6" w14:textId="77777777" w:rsidR="000E2D12" w:rsidRDefault="000E2D12" w:rsidP="00200EF0">
      <w:pPr>
        <w:rPr>
          <w:lang w:eastAsia="ja-JP"/>
        </w:rPr>
      </w:pPr>
      <w:r w:rsidRPr="5ACFE68B">
        <w:rPr>
          <w:lang w:eastAsia="ja-JP"/>
        </w:rPr>
        <w:t>L’enquête visait à recueillir des points de vue variés concernant le vocabulaire à employer dans des contextes professionnels, sociaux et personnels.</w:t>
      </w:r>
    </w:p>
    <w:p w14:paraId="3AB679EC" w14:textId="77777777" w:rsidR="000E2D12" w:rsidRDefault="000E2D12" w:rsidP="00200EF0">
      <w:pPr>
        <w:rPr>
          <w:lang w:eastAsia="ja-JP"/>
        </w:rPr>
      </w:pPr>
      <w:r w:rsidRPr="5ACFE68B">
        <w:rPr>
          <w:lang w:eastAsia="ja-JP"/>
        </w:rPr>
        <w:t>Cette initiative s’inscrit dans une volonté d’améliorer la communication autour du handicap, en s’assurant que les termes utilisés soient respectueux, inclusifs et reflètent la volonté et la réalité des personnes concernées.</w:t>
      </w:r>
    </w:p>
    <w:p w14:paraId="05702708" w14:textId="77777777" w:rsidR="000E2D12" w:rsidRDefault="000E2D12" w:rsidP="00200EF0">
      <w:pPr>
        <w:rPr>
          <w:lang w:eastAsia="ja-JP"/>
        </w:rPr>
      </w:pPr>
      <w:r>
        <w:rPr>
          <w:lang w:eastAsia="ja-JP"/>
        </w:rPr>
        <w:t>Dans cette partie, nous nous attacherons à justifier l’intérêt d’une telle enquête avant de nous intéresser aux objectifs de l’étude.</w:t>
      </w:r>
    </w:p>
    <w:p w14:paraId="3A961EA5" w14:textId="77777777" w:rsidR="000E2D12" w:rsidRDefault="000E2D12" w:rsidP="000E2D12">
      <w:pPr>
        <w:pStyle w:val="Titre3"/>
        <w:rPr>
          <w:lang w:eastAsia="fr-FR"/>
        </w:rPr>
      </w:pPr>
      <w:bookmarkStart w:id="6" w:name="_Toc179298928"/>
      <w:bookmarkStart w:id="7" w:name="_Toc184898480"/>
      <w:r>
        <w:t>Liens entre vocabulaire, handicap et pensée</w:t>
      </w:r>
      <w:bookmarkEnd w:id="6"/>
      <w:bookmarkEnd w:id="7"/>
    </w:p>
    <w:p w14:paraId="2C227762" w14:textId="77777777" w:rsidR="000E2D12" w:rsidRDefault="000E2D12" w:rsidP="00AC50B0">
      <w:pPr>
        <w:rPr>
          <w:lang w:eastAsia="ja-JP"/>
        </w:rPr>
      </w:pPr>
      <w:r>
        <w:rPr>
          <w:lang w:eastAsia="ja-JP"/>
        </w:rPr>
        <w:t xml:space="preserve">Selon </w:t>
      </w:r>
      <w:r w:rsidRPr="001E5C94">
        <w:rPr>
          <w:b/>
          <w:bCs/>
          <w:lang w:eastAsia="ja-JP"/>
        </w:rPr>
        <w:t>Lev Semionovitch</w:t>
      </w:r>
      <w:r w:rsidRPr="001E5C94">
        <w:rPr>
          <w:lang w:eastAsia="ja-JP"/>
        </w:rPr>
        <w:t xml:space="preserve"> </w:t>
      </w:r>
      <w:r w:rsidRPr="00112063">
        <w:rPr>
          <w:b/>
          <w:bCs/>
          <w:lang w:eastAsia="ja-JP"/>
        </w:rPr>
        <w:t>Vygotski</w:t>
      </w:r>
      <w:r>
        <w:rPr>
          <w:rStyle w:val="Appelnotedebasdep"/>
          <w:lang w:eastAsia="ja-JP"/>
        </w:rPr>
        <w:footnoteReference w:id="3"/>
      </w:r>
      <w:r>
        <w:rPr>
          <w:lang w:eastAsia="ja-JP"/>
        </w:rPr>
        <w:t>, célèbre psychologue du développement, le langage structure la pensée. En effet, il détermine que le «</w:t>
      </w:r>
      <w:r>
        <w:rPr>
          <w:rFonts w:ascii="Arial" w:hAnsi="Arial" w:cs="Arial"/>
          <w:lang w:eastAsia="ja-JP"/>
        </w:rPr>
        <w:t> </w:t>
      </w:r>
      <w:r>
        <w:rPr>
          <w:lang w:eastAsia="ja-JP"/>
        </w:rPr>
        <w:t>langage égocentrique, qui s’est détaché du langage social, se transforme ensuite en langage intérieur, basé sur la pensée</w:t>
      </w:r>
      <w:r>
        <w:rPr>
          <w:rFonts w:ascii="Arial" w:hAnsi="Arial" w:cs="Arial"/>
          <w:lang w:eastAsia="ja-JP"/>
        </w:rPr>
        <w:t> </w:t>
      </w:r>
      <w:r>
        <w:rPr>
          <w:lang w:eastAsia="ja-JP"/>
        </w:rPr>
        <w:t>».</w:t>
      </w:r>
    </w:p>
    <w:p w14:paraId="414AC377" w14:textId="77777777" w:rsidR="000E2D12" w:rsidRPr="003E791D" w:rsidRDefault="000E2D12" w:rsidP="00AC50B0">
      <w:pPr>
        <w:rPr>
          <w:lang w:eastAsia="ja-JP"/>
        </w:rPr>
      </w:pPr>
      <w:r>
        <w:rPr>
          <w:lang w:eastAsia="ja-JP"/>
        </w:rPr>
        <w:t xml:space="preserve">On </w:t>
      </w:r>
      <w:r w:rsidRPr="00DF486A">
        <w:rPr>
          <w:lang w:eastAsia="ja-JP"/>
        </w:rPr>
        <w:t xml:space="preserve">trouve </w:t>
      </w:r>
      <w:r>
        <w:rPr>
          <w:lang w:eastAsia="ja-JP"/>
        </w:rPr>
        <w:t xml:space="preserve">aussi </w:t>
      </w:r>
      <w:r w:rsidRPr="00375423">
        <w:rPr>
          <w:lang w:eastAsia="ja-JP"/>
        </w:rPr>
        <w:t>l’</w:t>
      </w:r>
      <w:r w:rsidRPr="00112063">
        <w:rPr>
          <w:b/>
          <w:bCs/>
          <w:lang w:eastAsia="ja-JP"/>
        </w:rPr>
        <w:t>hypothèse de Sapir-Whorf</w:t>
      </w:r>
      <w:r>
        <w:rPr>
          <w:rStyle w:val="Appelnotedebasdep"/>
          <w:lang w:eastAsia="ja-JP"/>
        </w:rPr>
        <w:footnoteReference w:id="4"/>
      </w:r>
      <w:r>
        <w:rPr>
          <w:lang w:eastAsia="ja-JP"/>
        </w:rPr>
        <w:t xml:space="preserve"> qui fait le lien entre les représentations humaines et la sémantique. La théorie qui est que «</w:t>
      </w:r>
      <w:r>
        <w:rPr>
          <w:rFonts w:ascii="Arial" w:hAnsi="Arial" w:cs="Arial"/>
          <w:lang w:eastAsia="ja-JP"/>
        </w:rPr>
        <w:t> </w:t>
      </w:r>
      <w:r>
        <w:rPr>
          <w:lang w:eastAsia="ja-JP"/>
        </w:rPr>
        <w:t>le langage et la façon de penser sont liés</w:t>
      </w:r>
      <w:r>
        <w:rPr>
          <w:rFonts w:ascii="Arial" w:hAnsi="Arial" w:cs="Arial"/>
          <w:lang w:eastAsia="ja-JP"/>
        </w:rPr>
        <w:t> </w:t>
      </w:r>
      <w:r>
        <w:rPr>
          <w:lang w:eastAsia="ja-JP"/>
        </w:rPr>
        <w:t>» renforce l’idée que les mots employés influencent notre façon de penser et de percevoir le monde.</w:t>
      </w:r>
    </w:p>
    <w:p w14:paraId="6C399667" w14:textId="77777777" w:rsidR="000E2D12" w:rsidRDefault="000E2D12" w:rsidP="00AC50B0">
      <w:pPr>
        <w:rPr>
          <w:lang w:eastAsia="ja-JP"/>
        </w:rPr>
      </w:pPr>
      <w:r w:rsidRPr="5ACFE68B">
        <w:rPr>
          <w:lang w:eastAsia="ja-JP"/>
        </w:rPr>
        <w:t>En particulier, l’impact des termes utilisés pour nommer les personnes «</w:t>
      </w:r>
      <w:r w:rsidRPr="5ACFE68B">
        <w:rPr>
          <w:rFonts w:ascii="Arial" w:hAnsi="Arial" w:cs="Arial"/>
          <w:lang w:eastAsia="ja-JP"/>
        </w:rPr>
        <w:t> </w:t>
      </w:r>
      <w:r w:rsidRPr="5ACFE68B">
        <w:rPr>
          <w:lang w:eastAsia="ja-JP"/>
        </w:rPr>
        <w:t>avec handicap</w:t>
      </w:r>
      <w:r w:rsidRPr="5ACFE68B">
        <w:rPr>
          <w:rFonts w:ascii="Arial" w:hAnsi="Arial" w:cs="Arial"/>
          <w:lang w:eastAsia="ja-JP"/>
        </w:rPr>
        <w:t> </w:t>
      </w:r>
      <w:r w:rsidRPr="5ACFE68B">
        <w:rPr>
          <w:lang w:eastAsia="ja-JP"/>
        </w:rPr>
        <w:t>» a fait l’objet de maintes réflexions, que l’on retrouve dans la littérature scientifique.</w:t>
      </w:r>
    </w:p>
    <w:p w14:paraId="784BD604" w14:textId="77777777" w:rsidR="000E2D12" w:rsidRDefault="000E2D12" w:rsidP="00AC50B0">
      <w:pPr>
        <w:rPr>
          <w:lang w:eastAsia="ja-JP"/>
        </w:rPr>
      </w:pPr>
      <w:r w:rsidRPr="00112063">
        <w:rPr>
          <w:b/>
          <w:bCs/>
          <w:lang w:eastAsia="ja-JP"/>
        </w:rPr>
        <w:t>David Kerr</w:t>
      </w:r>
      <w:r>
        <w:rPr>
          <w:lang w:eastAsia="ja-JP"/>
        </w:rPr>
        <w:t>, dans son article intitulé «</w:t>
      </w:r>
      <w:r>
        <w:rPr>
          <w:rFonts w:ascii="Arial" w:hAnsi="Arial" w:cs="Arial"/>
          <w:lang w:eastAsia="ja-JP"/>
        </w:rPr>
        <w:t> </w:t>
      </w:r>
      <w:r>
        <w:rPr>
          <w:lang w:eastAsia="ja-JP"/>
        </w:rPr>
        <w:t>Mal nommer, c’est discriminer</w:t>
      </w:r>
      <w:r>
        <w:rPr>
          <w:rFonts w:ascii="Arial" w:hAnsi="Arial" w:cs="Arial"/>
          <w:lang w:eastAsia="ja-JP"/>
        </w:rPr>
        <w:t> </w:t>
      </w:r>
      <w:r>
        <w:rPr>
          <w:lang w:eastAsia="ja-JP"/>
        </w:rPr>
        <w:t>»</w:t>
      </w:r>
      <w:r>
        <w:rPr>
          <w:rStyle w:val="Appelnotedebasdep"/>
          <w:lang w:eastAsia="ja-JP"/>
        </w:rPr>
        <w:footnoteReference w:id="5"/>
      </w:r>
      <w:r>
        <w:rPr>
          <w:lang w:eastAsia="ja-JP"/>
        </w:rPr>
        <w:t>, souligne le fait que les termes couramment employés pour désigner les personnes «</w:t>
      </w:r>
      <w:r>
        <w:rPr>
          <w:rFonts w:ascii="Arial" w:hAnsi="Arial" w:cs="Arial"/>
          <w:lang w:eastAsia="ja-JP"/>
        </w:rPr>
        <w:t> </w:t>
      </w:r>
      <w:r>
        <w:rPr>
          <w:lang w:eastAsia="ja-JP"/>
        </w:rPr>
        <w:t>avec handicap</w:t>
      </w:r>
      <w:r>
        <w:rPr>
          <w:rFonts w:ascii="Arial" w:hAnsi="Arial" w:cs="Arial"/>
          <w:lang w:eastAsia="ja-JP"/>
        </w:rPr>
        <w:t> </w:t>
      </w:r>
      <w:r>
        <w:rPr>
          <w:lang w:eastAsia="ja-JP"/>
        </w:rPr>
        <w:t xml:space="preserve">» sont souvent porteurs d’une connotation négative ou d’un sens dévalorisant. </w:t>
      </w:r>
      <w:r w:rsidRPr="5ACFE68B">
        <w:rPr>
          <w:lang w:eastAsia="ja-JP"/>
        </w:rPr>
        <w:t>Il rappelle que l’étymologie du mot « handicap » elle-même n’est pas sans poser question</w:t>
      </w:r>
      <w:r>
        <w:rPr>
          <w:lang w:eastAsia="ja-JP"/>
        </w:rPr>
        <w:t> :</w:t>
      </w:r>
    </w:p>
    <w:p w14:paraId="105E472D" w14:textId="77777777" w:rsidR="000E2D12" w:rsidRPr="00155651" w:rsidRDefault="000E2D12" w:rsidP="000E2D12">
      <w:pPr>
        <w:pStyle w:val="Citationintense"/>
      </w:pPr>
      <w:r>
        <w:t>« </w:t>
      </w:r>
      <w:r w:rsidRPr="00112063">
        <w:t>Issu de l’anglais</w:t>
      </w:r>
      <w:r>
        <w:t xml:space="preserve"> </w:t>
      </w:r>
      <w:r w:rsidRPr="0041576F">
        <w:rPr>
          <w:i w:val="0"/>
          <w:iCs w:val="0"/>
          <w:lang w:val="en-US"/>
        </w:rPr>
        <w:t>hand in cap</w:t>
      </w:r>
      <w:r>
        <w:t xml:space="preserve"> </w:t>
      </w:r>
      <w:r w:rsidRPr="00112063">
        <w:t xml:space="preserve">(main dans le chapeau), le mot “handicap” était (et demeure) utilisé dans le domaine des courses hippiques. Le handicap correspond à la mesure des différentes performances des chevaux engagés dans une compétition. La </w:t>
      </w:r>
      <w:r w:rsidRPr="00112063">
        <w:lastRenderedPageBreak/>
        <w:t>comparaison des chevaux permet au handicapeur de déterminer la manière d’égaliser leurs chances au départ de la compétition. Les critères sont choisis de façon à donner leur chance à tous les types de chevaux</w:t>
      </w:r>
      <w:r>
        <w:t>. »</w:t>
      </w:r>
    </w:p>
    <w:p w14:paraId="0BDD363C" w14:textId="77777777" w:rsidR="000E2D12" w:rsidRDefault="000E2D12" w:rsidP="00954E4C">
      <w:pPr>
        <w:rPr>
          <w:lang w:eastAsia="ja-JP"/>
        </w:rPr>
      </w:pPr>
      <w:r w:rsidRPr="5ACFE68B">
        <w:rPr>
          <w:lang w:eastAsia="ja-JP"/>
        </w:rPr>
        <w:t>Kerr soutient que le langage que nous utilisons pour parler du handicap influence directement nos attitudes et nos comportements envers les personnes concernées. Selon lui, les stéréotypes et les clichés véhiculés par le vocabulaire que nous employons peuvent contribuer à marginaliser les personnes «</w:t>
      </w:r>
      <w:r w:rsidRPr="5ACFE68B">
        <w:rPr>
          <w:rFonts w:ascii="Arial" w:hAnsi="Arial" w:cs="Arial"/>
          <w:lang w:eastAsia="ja-JP"/>
        </w:rPr>
        <w:t> </w:t>
      </w:r>
      <w:r w:rsidRPr="5ACFE68B">
        <w:rPr>
          <w:lang w:eastAsia="ja-JP"/>
        </w:rPr>
        <w:t>avec handicap</w:t>
      </w:r>
      <w:r w:rsidRPr="5ACFE68B">
        <w:rPr>
          <w:rFonts w:ascii="Arial" w:hAnsi="Arial" w:cs="Arial"/>
          <w:lang w:eastAsia="ja-JP"/>
        </w:rPr>
        <w:t> </w:t>
      </w:r>
      <w:r w:rsidRPr="5ACFE68B">
        <w:rPr>
          <w:lang w:eastAsia="ja-JP"/>
        </w:rPr>
        <w:t>».</w:t>
      </w:r>
    </w:p>
    <w:p w14:paraId="407647B5" w14:textId="77777777" w:rsidR="000E2D12" w:rsidRPr="00664018" w:rsidRDefault="000E2D12" w:rsidP="000E2D12">
      <w:pPr>
        <w:pStyle w:val="Citationintense"/>
      </w:pPr>
      <w:r>
        <w:t>« Mal nommer, c’est discriminer. Discriminer est une violence. Les personnes handicapées sont victimes d’un vocabulaire qui les stigmatise et engendre la souffrance. Le choix des mots offensifs représente une vision de la normalité vue comme oppressive, une violence symbolique susceptible de nourrir tous les discours qui prennent racine dans la peur de la différence ».</w:t>
      </w:r>
    </w:p>
    <w:p w14:paraId="14A9AF2B" w14:textId="2F844FCB" w:rsidR="000E2D12" w:rsidRDefault="000E2D12" w:rsidP="000E2D12">
      <w:pPr>
        <w:rPr>
          <w:lang w:eastAsia="ja-JP"/>
        </w:rPr>
      </w:pPr>
      <w:r>
        <w:rPr>
          <w:lang w:eastAsia="ja-JP"/>
        </w:rPr>
        <w:t>De plus, les rec</w:t>
      </w:r>
      <w:r w:rsidRPr="00BE74C7">
        <w:rPr>
          <w:lang w:eastAsia="ja-JP"/>
        </w:rPr>
        <w:t>herches d’</w:t>
      </w:r>
      <w:r w:rsidRPr="00EF2946">
        <w:rPr>
          <w:b/>
          <w:bCs/>
          <w:lang w:eastAsia="ja-JP"/>
        </w:rPr>
        <w:t>Erving Goffman</w:t>
      </w:r>
      <w:r w:rsidRPr="00BE74C7">
        <w:rPr>
          <w:rStyle w:val="Appelnotedebasdep"/>
          <w:lang w:eastAsia="ja-JP"/>
        </w:rPr>
        <w:footnoteReference w:id="6"/>
      </w:r>
      <w:r>
        <w:rPr>
          <w:lang w:eastAsia="ja-JP"/>
        </w:rPr>
        <w:t xml:space="preserve"> sur les stigmates montrent que le terme «</w:t>
      </w:r>
      <w:r>
        <w:rPr>
          <w:rFonts w:ascii="Arial" w:hAnsi="Arial" w:cs="Arial"/>
          <w:lang w:eastAsia="ja-JP"/>
        </w:rPr>
        <w:t> </w:t>
      </w:r>
      <w:r>
        <w:rPr>
          <w:lang w:eastAsia="ja-JP"/>
        </w:rPr>
        <w:t>personne handicapée</w:t>
      </w:r>
      <w:r>
        <w:rPr>
          <w:rFonts w:ascii="Arial" w:hAnsi="Arial" w:cs="Arial"/>
          <w:lang w:eastAsia="ja-JP"/>
        </w:rPr>
        <w:t> </w:t>
      </w:r>
      <w:r>
        <w:rPr>
          <w:lang w:eastAsia="ja-JP"/>
        </w:rPr>
        <w:t>» provoque ce qu’il appelle une «</w:t>
      </w:r>
      <w:r>
        <w:rPr>
          <w:rFonts w:ascii="Arial" w:hAnsi="Arial" w:cs="Arial"/>
          <w:lang w:eastAsia="ja-JP"/>
        </w:rPr>
        <w:t> </w:t>
      </w:r>
      <w:r>
        <w:rPr>
          <w:lang w:eastAsia="ja-JP"/>
        </w:rPr>
        <w:t>interférence psychique</w:t>
      </w:r>
      <w:r w:rsidR="003E133E">
        <w:rPr>
          <w:lang w:eastAsia="ja-JP"/>
        </w:rPr>
        <w:t> »</w:t>
      </w:r>
      <w:r>
        <w:rPr>
          <w:lang w:eastAsia="ja-JP"/>
        </w:rPr>
        <w:t xml:space="preserve"> qui </w:t>
      </w:r>
      <w:r w:rsidRPr="006A1373">
        <w:rPr>
          <w:lang w:eastAsia="ja-JP"/>
        </w:rPr>
        <w:t>renvoie à l’image de soi, chez celui qui en souffre comme chez celui qui regarde. I</w:t>
      </w:r>
      <w:r>
        <w:rPr>
          <w:lang w:eastAsia="ja-JP"/>
        </w:rPr>
        <w:t>l</w:t>
      </w:r>
      <w:r w:rsidRPr="006A1373">
        <w:rPr>
          <w:lang w:eastAsia="ja-JP"/>
        </w:rPr>
        <w:t xml:space="preserve"> induit une idée de </w:t>
      </w:r>
      <w:r>
        <w:rPr>
          <w:lang w:eastAsia="ja-JP"/>
        </w:rPr>
        <w:t>« </w:t>
      </w:r>
      <w:r w:rsidRPr="006A1373">
        <w:rPr>
          <w:lang w:eastAsia="ja-JP"/>
        </w:rPr>
        <w:t>contre-performance</w:t>
      </w:r>
      <w:r>
        <w:rPr>
          <w:lang w:eastAsia="ja-JP"/>
        </w:rPr>
        <w:t> ». Le vocabulaire devient donc un élément de discrimination invisible, mais puissant.</w:t>
      </w:r>
    </w:p>
    <w:p w14:paraId="4CB1B1E1" w14:textId="77777777" w:rsidR="000E2D12" w:rsidRPr="00FA366E" w:rsidRDefault="000E2D12" w:rsidP="000E2D12">
      <w:pPr>
        <w:rPr>
          <w:lang w:eastAsia="ja-JP"/>
        </w:rPr>
      </w:pPr>
      <w:r>
        <w:rPr>
          <w:lang w:eastAsia="ja-JP"/>
        </w:rPr>
        <w:t>Ainsi, les modèles sociaux du handicap qui se sont développés au fil des décennies offrent une nouvelle perspective sur la question. Contrairement aux modèles médicaux qui se concentrent sur les déficiences individuelles, ces modèles placent l’accent sur l’environnement et les obstacles sociétaux.</w:t>
      </w:r>
    </w:p>
    <w:p w14:paraId="5801D37D" w14:textId="77777777" w:rsidR="000E2D12" w:rsidRPr="0077122C" w:rsidRDefault="000E2D12" w:rsidP="000E2D12">
      <w:pPr>
        <w:pStyle w:val="Titre3"/>
      </w:pPr>
      <w:bookmarkStart w:id="8" w:name="_Toc179298929"/>
      <w:bookmarkStart w:id="9" w:name="_Toc184898481"/>
      <w:r>
        <w:t>Évolution des éléments de langage liés au handicap dans la législation française et international</w:t>
      </w:r>
      <w:bookmarkEnd w:id="8"/>
      <w:r>
        <w:t>e</w:t>
      </w:r>
      <w:bookmarkEnd w:id="9"/>
    </w:p>
    <w:p w14:paraId="591B3894" w14:textId="0BD34B92" w:rsidR="000E2D12" w:rsidRDefault="00D55FCC" w:rsidP="006876BB">
      <w:pPr>
        <w:rPr>
          <w:lang w:eastAsia="ja-JP"/>
        </w:rPr>
      </w:pPr>
      <w:r>
        <w:rPr>
          <w:lang w:eastAsia="ja-JP"/>
        </w:rPr>
        <w:t xml:space="preserve">Cette </w:t>
      </w:r>
      <w:r w:rsidR="000E2D12" w:rsidRPr="5ACFE68B">
        <w:rPr>
          <w:lang w:eastAsia="ja-JP"/>
        </w:rPr>
        <w:t xml:space="preserve">évolution </w:t>
      </w:r>
      <w:r>
        <w:rPr>
          <w:lang w:eastAsia="ja-JP"/>
        </w:rPr>
        <w:t xml:space="preserve">a également pu être </w:t>
      </w:r>
      <w:r w:rsidR="000E2D12" w:rsidRPr="5ACFE68B">
        <w:rPr>
          <w:lang w:eastAsia="ja-JP"/>
        </w:rPr>
        <w:t>constat</w:t>
      </w:r>
      <w:r>
        <w:rPr>
          <w:lang w:eastAsia="ja-JP"/>
        </w:rPr>
        <w:t>ée</w:t>
      </w:r>
      <w:r w:rsidR="000E2D12" w:rsidRPr="5ACFE68B">
        <w:rPr>
          <w:lang w:eastAsia="ja-JP"/>
        </w:rPr>
        <w:t xml:space="preserve"> à travers les éléments de langage utilisés par les législations nationales et internationales.</w:t>
      </w:r>
    </w:p>
    <w:p w14:paraId="04565B43" w14:textId="77777777" w:rsidR="000E2D12" w:rsidRDefault="000E2D12" w:rsidP="006876BB">
      <w:pPr>
        <w:rPr>
          <w:lang w:eastAsia="ja-JP"/>
        </w:rPr>
      </w:pPr>
      <w:r w:rsidRPr="5ACFE68B">
        <w:rPr>
          <w:lang w:eastAsia="ja-JP"/>
        </w:rPr>
        <w:t>L’évolution du langage utilisé pour parler des personnes « avec handicap » a été influencée par divers mouvements sociaux, la recherche sociologique ainsi que par les législations nationales et internationales.</w:t>
      </w:r>
    </w:p>
    <w:p w14:paraId="7FF7D67A" w14:textId="77777777" w:rsidR="000E2D12" w:rsidRDefault="000E2D12" w:rsidP="0091372D">
      <w:pPr>
        <w:rPr>
          <w:lang w:eastAsia="ja-JP"/>
        </w:rPr>
      </w:pPr>
      <w:r>
        <w:rPr>
          <w:lang w:eastAsia="ja-JP"/>
        </w:rPr>
        <w:lastRenderedPageBreak/>
        <w:t xml:space="preserve">Au niveau international, la </w:t>
      </w:r>
      <w:r w:rsidRPr="00EF2946">
        <w:rPr>
          <w:b/>
          <w:bCs/>
          <w:lang w:eastAsia="ja-JP"/>
        </w:rPr>
        <w:t>Convention des Nations unies relatives aux droits des Personnes Handicapées</w:t>
      </w:r>
      <w:r>
        <w:rPr>
          <w:rStyle w:val="Appelnotedebasdep"/>
          <w:lang w:eastAsia="ja-JP"/>
        </w:rPr>
        <w:footnoteReference w:id="7"/>
      </w:r>
      <w:r>
        <w:rPr>
          <w:lang w:eastAsia="ja-JP"/>
        </w:rPr>
        <w:t xml:space="preserve"> (CDPH) a joué un rôle clé en redéfinissant les termes relatifs au handicap.</w:t>
      </w:r>
    </w:p>
    <w:p w14:paraId="61EC0EEA" w14:textId="77777777" w:rsidR="000E2D12" w:rsidRDefault="000E2D12" w:rsidP="0091372D">
      <w:pPr>
        <w:rPr>
          <w:lang w:eastAsia="ja-JP"/>
        </w:rPr>
      </w:pPr>
      <w:r>
        <w:rPr>
          <w:lang w:eastAsia="ja-JP"/>
        </w:rPr>
        <w:t>Adoptée en 2006, la CDPH définit les personnes handicapées comme « des personnes présentant des incapacités physiques, mentales, intellectuelles ou sensorielles durables dont l’interaction avec diverses barrières peut faire obstacle à leur pleine participation à la société ». Ce cadre législatif met l’accent sur l’interaction entre la personne et l’environnement.</w:t>
      </w:r>
    </w:p>
    <w:p w14:paraId="380505F1" w14:textId="77777777" w:rsidR="000E2D12" w:rsidRDefault="000E2D12" w:rsidP="000E2D12">
      <w:pPr>
        <w:rPr>
          <w:lang w:eastAsia="ja-JP"/>
        </w:rPr>
      </w:pPr>
      <w:r>
        <w:rPr>
          <w:lang w:eastAsia="ja-JP"/>
        </w:rPr>
        <w:t xml:space="preserve">La CDPH a fixé un cadre et chaque pays interprète différemment. </w:t>
      </w:r>
      <w:r w:rsidRPr="00EF2946">
        <w:rPr>
          <w:b/>
          <w:bCs/>
          <w:lang w:eastAsia="ja-JP"/>
        </w:rPr>
        <w:t>L’Office des personnes handicapées du Québec</w:t>
      </w:r>
      <w:r>
        <w:rPr>
          <w:rStyle w:val="Appelnotedebasdep"/>
          <w:lang w:eastAsia="ja-JP"/>
        </w:rPr>
        <w:footnoteReference w:id="8"/>
      </w:r>
      <w:r>
        <w:rPr>
          <w:lang w:eastAsia="ja-JP"/>
        </w:rPr>
        <w:t xml:space="preserve"> a également apporté des contributions importantes en proposant une terminologie qui place la personne avant la déficience.</w:t>
      </w:r>
    </w:p>
    <w:p w14:paraId="33C1CDB6" w14:textId="77777777" w:rsidR="000E2D12" w:rsidRDefault="000E2D12" w:rsidP="000E2D12">
      <w:pPr>
        <w:rPr>
          <w:lang w:eastAsia="ja-JP"/>
        </w:rPr>
      </w:pPr>
      <w:r>
        <w:rPr>
          <w:lang w:eastAsia="ja-JP"/>
        </w:rPr>
        <w:t>Cette institution recommande l’utilisation du terme « personnes handicapées » au lieu de « un handicapé</w:t>
      </w:r>
      <w:r w:rsidRPr="5ACFE68B">
        <w:rPr>
          <w:lang w:eastAsia="ja-JP"/>
        </w:rPr>
        <w:t> </w:t>
      </w:r>
      <w:r>
        <w:rPr>
          <w:lang w:eastAsia="ja-JP"/>
        </w:rPr>
        <w:t>», dans le but de respecter la dignité et l’identité de la personne. Cette approche met en avant l’individualité et évite de réduire l’individu à son handicap. Elle propose notamment l’exemple du handicap visuel :</w:t>
      </w:r>
    </w:p>
    <w:p w14:paraId="2CFD8CD2" w14:textId="77777777" w:rsidR="000E2D12" w:rsidRDefault="000E2D12" w:rsidP="000E2D12">
      <w:pPr>
        <w:pStyle w:val="Citationintense"/>
      </w:pPr>
      <w:r w:rsidRPr="00460E1E">
        <w:t>« En fait, l’homme a réellement besoin d’une canne blanche pour s’orienter et se déplacer, mais son résidu visuel lui permet de percevoir une image lorsque celle–ci est très près de ses yeux. On ne connaît pas toujours la condition précise de la personne dont on parle. Pour éviter de propager ce type de préjugés, dans le cas d’une personne possiblement aveugle, on peut tout simplement dire qu’elle a une incapacité visuelle, sans en préciser la nature.</w:t>
      </w:r>
      <w:r w:rsidRPr="00EF2946">
        <w:t> »</w:t>
      </w:r>
    </w:p>
    <w:p w14:paraId="161015A1" w14:textId="79E66902" w:rsidR="000E2D12" w:rsidRDefault="000E2D12" w:rsidP="00AB48C7">
      <w:pPr>
        <w:rPr>
          <w:lang w:eastAsia="ja-JP"/>
        </w:rPr>
      </w:pPr>
      <w:r>
        <w:rPr>
          <w:lang w:eastAsia="ja-JP"/>
        </w:rPr>
        <w:t xml:space="preserve">On peut encore lire sur le site web </w:t>
      </w:r>
      <w:r w:rsidRPr="009D7AED">
        <w:rPr>
          <w:lang w:eastAsia="ja-JP"/>
        </w:rPr>
        <w:t xml:space="preserve">du </w:t>
      </w:r>
      <w:r w:rsidRPr="00EC5BED">
        <w:rPr>
          <w:b/>
          <w:bCs/>
          <w:lang w:eastAsia="ja-JP"/>
        </w:rPr>
        <w:t>gouvernement des Émirats arabes unis</w:t>
      </w:r>
      <w:r>
        <w:rPr>
          <w:rStyle w:val="Appelnotedebasdep"/>
          <w:lang w:eastAsia="ja-JP"/>
        </w:rPr>
        <w:footnoteReference w:id="9"/>
      </w:r>
      <w:r>
        <w:rPr>
          <w:lang w:eastAsia="ja-JP"/>
        </w:rPr>
        <w:t xml:space="preserve"> (2024) que les personnes ayant un handicap sont appelées « </w:t>
      </w:r>
      <w:r w:rsidRPr="00EF2946">
        <w:rPr>
          <w:lang w:val="en-US" w:eastAsia="ja-JP"/>
        </w:rPr>
        <w:t>People of determination</w:t>
      </w:r>
      <w:r>
        <w:rPr>
          <w:lang w:eastAsia="ja-JP"/>
        </w:rPr>
        <w:t> », que l’on peut traduire par « personnes déterminées »</w:t>
      </w:r>
      <w:r w:rsidR="00A9094C">
        <w:rPr>
          <w:lang w:eastAsia="ja-JP"/>
        </w:rPr>
        <w:t xml:space="preserve"> : </w:t>
      </w:r>
      <w:r>
        <w:rPr>
          <w:lang w:eastAsia="ja-JP"/>
        </w:rPr>
        <w:t xml:space="preserve">selon </w:t>
      </w:r>
      <w:r w:rsidR="006F1579">
        <w:rPr>
          <w:lang w:eastAsia="ja-JP"/>
        </w:rPr>
        <w:t xml:space="preserve">cette </w:t>
      </w:r>
      <w:r>
        <w:rPr>
          <w:lang w:eastAsia="ja-JP"/>
        </w:rPr>
        <w:t>instance gouvernementale, ce terme est une reconnaissance des réalisations dans différents domaines des personnes concernées.</w:t>
      </w:r>
    </w:p>
    <w:p w14:paraId="51E39E8F" w14:textId="77777777" w:rsidR="00245BE5" w:rsidRDefault="000E2D12" w:rsidP="00AB48C7">
      <w:pPr>
        <w:rPr>
          <w:lang w:eastAsia="ja-JP"/>
        </w:rPr>
      </w:pPr>
      <w:r>
        <w:rPr>
          <w:lang w:eastAsia="ja-JP"/>
        </w:rPr>
        <w:t xml:space="preserve">En </w:t>
      </w:r>
      <w:r w:rsidR="00845558">
        <w:rPr>
          <w:lang w:eastAsia="ja-JP"/>
        </w:rPr>
        <w:t>France aussi</w:t>
      </w:r>
      <w:r>
        <w:rPr>
          <w:lang w:eastAsia="ja-JP"/>
        </w:rPr>
        <w:t>, la sémantique utilisée autour du handicap</w:t>
      </w:r>
      <w:r w:rsidR="00291AAA">
        <w:rPr>
          <w:lang w:eastAsia="ja-JP"/>
        </w:rPr>
        <w:t xml:space="preserve"> a évolué</w:t>
      </w:r>
      <w:r>
        <w:rPr>
          <w:lang w:eastAsia="ja-JP"/>
        </w:rPr>
        <w:t xml:space="preserve">. Dans un article publié en 2019, </w:t>
      </w:r>
      <w:r w:rsidR="007B0732" w:rsidRPr="00EF2946">
        <w:rPr>
          <w:b/>
          <w:bCs/>
          <w:lang w:eastAsia="ja-JP"/>
        </w:rPr>
        <w:t>Catherine de</w:t>
      </w:r>
      <w:r w:rsidR="007B0732">
        <w:rPr>
          <w:b/>
          <w:bCs/>
          <w:lang w:eastAsia="ja-JP"/>
        </w:rPr>
        <w:t> </w:t>
      </w:r>
      <w:r w:rsidR="007B0732" w:rsidRPr="00EF2946">
        <w:rPr>
          <w:b/>
          <w:bCs/>
          <w:lang w:eastAsia="ja-JP"/>
        </w:rPr>
        <w:t>Coppet</w:t>
      </w:r>
      <w:r w:rsidR="007B0732">
        <w:rPr>
          <w:rStyle w:val="Appelnotedebasdep"/>
          <w:lang w:eastAsia="ja-JP"/>
        </w:rPr>
        <w:footnoteReference w:id="10"/>
      </w:r>
      <w:r>
        <w:rPr>
          <w:lang w:eastAsia="ja-JP"/>
        </w:rPr>
        <w:t xml:space="preserve"> indiqu</w:t>
      </w:r>
      <w:r w:rsidR="007B0732">
        <w:rPr>
          <w:lang w:eastAsia="ja-JP"/>
        </w:rPr>
        <w:t>e</w:t>
      </w:r>
      <w:r>
        <w:rPr>
          <w:lang w:eastAsia="ja-JP"/>
        </w:rPr>
        <w:t xml:space="preserve"> que le terme « handicapé » a été intégré dans la langue française au début du XX</w:t>
      </w:r>
      <w:r w:rsidRPr="007F22ED">
        <w:rPr>
          <w:vertAlign w:val="superscript"/>
          <w:lang w:eastAsia="ja-JP"/>
        </w:rPr>
        <w:t>e</w:t>
      </w:r>
      <w:r>
        <w:rPr>
          <w:lang w:eastAsia="ja-JP"/>
        </w:rPr>
        <w:t> siècle, mais n’est devenu substantif qu’à partir des années 1970-80.</w:t>
      </w:r>
    </w:p>
    <w:p w14:paraId="021A83F4" w14:textId="69F0B1D8" w:rsidR="000E2D12" w:rsidRDefault="000E2D12" w:rsidP="00AB48C7">
      <w:pPr>
        <w:rPr>
          <w:lang w:eastAsia="ja-JP"/>
        </w:rPr>
      </w:pPr>
      <w:r>
        <w:rPr>
          <w:lang w:eastAsia="ja-JP"/>
        </w:rPr>
        <w:lastRenderedPageBreak/>
        <w:t>Auparavant, l’expression « travailleur handicapé » était couramment utilisée, notamment avec la loi de 1957, qui instaurait le principe du travail protégé.</w:t>
      </w:r>
    </w:p>
    <w:p w14:paraId="4E44DF89" w14:textId="77777777" w:rsidR="000E2D12" w:rsidRDefault="000E2D12" w:rsidP="007420A3">
      <w:pPr>
        <w:rPr>
          <w:lang w:eastAsia="ja-JP"/>
        </w:rPr>
      </w:pPr>
      <w:r w:rsidRPr="41E2B674">
        <w:rPr>
          <w:lang w:eastAsia="ja-JP"/>
        </w:rPr>
        <w:t>Au fil du temps, la société a commencé à abandonner le terme « handicapé » pour privilégier « personnes handicapées », puis « personne en situation de handicap », en réaction aux changements sociétaux et aux revendications d’un vocabulaire plus respectueux et inclusif.</w:t>
      </w:r>
    </w:p>
    <w:p w14:paraId="434077F1" w14:textId="4D4EC4FF" w:rsidR="000E2D12" w:rsidRDefault="000E2D12" w:rsidP="007420A3">
      <w:pPr>
        <w:rPr>
          <w:lang w:eastAsia="ja-JP"/>
        </w:rPr>
      </w:pPr>
      <w:r>
        <w:rPr>
          <w:lang w:eastAsia="ja-JP"/>
        </w:rPr>
        <w:t xml:space="preserve">Le </w:t>
      </w:r>
      <w:r w:rsidRPr="00EF2946">
        <w:rPr>
          <w:b/>
          <w:bCs/>
          <w:lang w:eastAsia="ja-JP"/>
        </w:rPr>
        <w:t>Conseil National Consultatif des Personnes Handicapées</w:t>
      </w:r>
      <w:r>
        <w:rPr>
          <w:b/>
          <w:bCs/>
          <w:lang w:eastAsia="ja-JP"/>
        </w:rPr>
        <w:t xml:space="preserve"> </w:t>
      </w:r>
      <w:r>
        <w:rPr>
          <w:rStyle w:val="Appelnotedebasdep"/>
          <w:lang w:eastAsia="ja-JP"/>
        </w:rPr>
        <w:footnoteReference w:id="11"/>
      </w:r>
      <w:r w:rsidRPr="009D7AED">
        <w:rPr>
          <w:lang w:eastAsia="ja-JP"/>
        </w:rPr>
        <w:t>(CNCPH)</w:t>
      </w:r>
      <w:r>
        <w:rPr>
          <w:lang w:eastAsia="ja-JP"/>
        </w:rPr>
        <w:t xml:space="preserve"> a établi en 2021 un Conseil pour les questions sémantiques, sociologiques et éthiques</w:t>
      </w:r>
      <w:r w:rsidR="009F32ED">
        <w:rPr>
          <w:lang w:eastAsia="ja-JP"/>
        </w:rPr>
        <w:t>,</w:t>
      </w:r>
      <w:r>
        <w:rPr>
          <w:lang w:eastAsia="ja-JP"/>
        </w:rPr>
        <w:t xml:space="preserve"> </w:t>
      </w:r>
      <w:r w:rsidR="009F32ED">
        <w:rPr>
          <w:lang w:eastAsia="ja-JP"/>
        </w:rPr>
        <w:t xml:space="preserve">ce </w:t>
      </w:r>
      <w:r>
        <w:rPr>
          <w:lang w:eastAsia="ja-JP"/>
        </w:rPr>
        <w:t xml:space="preserve">qui </w:t>
      </w:r>
      <w:r w:rsidR="009F32ED">
        <w:rPr>
          <w:lang w:eastAsia="ja-JP"/>
        </w:rPr>
        <w:t xml:space="preserve">tend à </w:t>
      </w:r>
      <w:r>
        <w:rPr>
          <w:lang w:eastAsia="ja-JP"/>
        </w:rPr>
        <w:t>démontre</w:t>
      </w:r>
      <w:r w:rsidR="009F32ED">
        <w:rPr>
          <w:lang w:eastAsia="ja-JP"/>
        </w:rPr>
        <w:t>r</w:t>
      </w:r>
      <w:r>
        <w:rPr>
          <w:lang w:eastAsia="ja-JP"/>
        </w:rPr>
        <w:t xml:space="preserve"> l’intérêt de la question pour le gouvernement français. Ce conseil débat de la manière de désigner les personnes «</w:t>
      </w:r>
      <w:r>
        <w:rPr>
          <w:rFonts w:ascii="Arial" w:hAnsi="Arial" w:cs="Arial"/>
          <w:lang w:eastAsia="ja-JP"/>
        </w:rPr>
        <w:t> </w:t>
      </w:r>
      <w:r>
        <w:rPr>
          <w:lang w:eastAsia="ja-JP"/>
        </w:rPr>
        <w:t>avec handicap</w:t>
      </w:r>
      <w:r>
        <w:rPr>
          <w:rFonts w:ascii="Arial" w:hAnsi="Arial" w:cs="Arial"/>
          <w:lang w:eastAsia="ja-JP"/>
        </w:rPr>
        <w:t> </w:t>
      </w:r>
      <w:r>
        <w:rPr>
          <w:lang w:eastAsia="ja-JP"/>
        </w:rPr>
        <w:t>».</w:t>
      </w:r>
    </w:p>
    <w:p w14:paraId="1B463BFC" w14:textId="77777777" w:rsidR="000E2D12" w:rsidRDefault="000E2D12" w:rsidP="007420A3">
      <w:pPr>
        <w:rPr>
          <w:lang w:eastAsia="ja-JP"/>
        </w:rPr>
      </w:pPr>
      <w:r w:rsidRPr="5ACFE68B">
        <w:rPr>
          <w:lang w:eastAsia="ja-JP"/>
        </w:rPr>
        <w:t>Il a pour mission de traiter les questions sociologiques, éthiques et sémantiques autour du handicap, notamment en ce qui concerne la relation entre les personnes en situation de handicap et les aidants, ainsi que le positionnement des aides professionnelles. Ce cadre de travail témoigne d’une volonté d’inscrire le langage dans une démarche inclusive, tout en prenant en compte les réalités sociales et éthiques contemporaines.</w:t>
      </w:r>
    </w:p>
    <w:p w14:paraId="7077E772" w14:textId="39645DED" w:rsidR="000E2D12" w:rsidRPr="00EE42A6" w:rsidRDefault="000E2D12" w:rsidP="000E2D12">
      <w:pPr>
        <w:rPr>
          <w:lang w:eastAsia="ja-JP"/>
        </w:rPr>
      </w:pPr>
      <w:r>
        <w:rPr>
          <w:lang w:eastAsia="ja-JP"/>
        </w:rPr>
        <w:t xml:space="preserve">Malgré </w:t>
      </w:r>
      <w:r w:rsidR="00CF62F3">
        <w:rPr>
          <w:lang w:eastAsia="ja-JP"/>
        </w:rPr>
        <w:t>c</w:t>
      </w:r>
      <w:r>
        <w:rPr>
          <w:lang w:eastAsia="ja-JP"/>
        </w:rPr>
        <w:t xml:space="preserve">es </w:t>
      </w:r>
      <w:r w:rsidR="00CF62F3">
        <w:rPr>
          <w:lang w:eastAsia="ja-JP"/>
        </w:rPr>
        <w:t>différentes initiatives</w:t>
      </w:r>
      <w:r>
        <w:rPr>
          <w:lang w:eastAsia="ja-JP"/>
        </w:rPr>
        <w:t>, on constate qu’il n’y a pas de consensus sur le vocabulaire associé au handicap dans les législations internationales</w:t>
      </w:r>
      <w:r w:rsidR="00C06CB9" w:rsidRPr="00C06CB9">
        <w:rPr>
          <w:lang w:eastAsia="ja-JP"/>
        </w:rPr>
        <w:t xml:space="preserve"> </w:t>
      </w:r>
      <w:r w:rsidR="00C06CB9">
        <w:rPr>
          <w:lang w:eastAsia="ja-JP"/>
        </w:rPr>
        <w:t>aujourd’hui</w:t>
      </w:r>
      <w:r>
        <w:rPr>
          <w:lang w:eastAsia="ja-JP"/>
        </w:rPr>
        <w:t xml:space="preserve">. Cette question reste </w:t>
      </w:r>
      <w:r w:rsidR="00DD2C99">
        <w:rPr>
          <w:lang w:eastAsia="ja-JP"/>
        </w:rPr>
        <w:t xml:space="preserve">donc </w:t>
      </w:r>
      <w:r>
        <w:rPr>
          <w:lang w:eastAsia="ja-JP"/>
        </w:rPr>
        <w:t>en débat</w:t>
      </w:r>
      <w:r w:rsidR="00C571C5">
        <w:rPr>
          <w:lang w:eastAsia="ja-JP"/>
        </w:rPr>
        <w:t>. No</w:t>
      </w:r>
      <w:r>
        <w:rPr>
          <w:lang w:eastAsia="ja-JP"/>
        </w:rPr>
        <w:t>us pouvons y associer une dimension culturelle</w:t>
      </w:r>
      <w:r w:rsidR="00C571C5">
        <w:rPr>
          <w:lang w:eastAsia="ja-JP"/>
        </w:rPr>
        <w:t xml:space="preserve"> : </w:t>
      </w:r>
      <w:r>
        <w:rPr>
          <w:lang w:eastAsia="ja-JP"/>
        </w:rPr>
        <w:t>qu’en est-il du langage utilisé par les personnes concernées elles-mêmes</w:t>
      </w:r>
      <w:r>
        <w:rPr>
          <w:rFonts w:ascii="Arial" w:hAnsi="Arial" w:cs="Arial"/>
          <w:lang w:eastAsia="ja-JP"/>
        </w:rPr>
        <w:t> </w:t>
      </w:r>
      <w:r>
        <w:rPr>
          <w:lang w:eastAsia="ja-JP"/>
        </w:rPr>
        <w:t>?</w:t>
      </w:r>
    </w:p>
    <w:p w14:paraId="42F6E365" w14:textId="77777777" w:rsidR="000E2D12" w:rsidRPr="004E2A37" w:rsidRDefault="000E2D12" w:rsidP="000E2D12">
      <w:pPr>
        <w:pStyle w:val="Titre3"/>
      </w:pPr>
      <w:bookmarkStart w:id="10" w:name="_Toc179298930"/>
      <w:bookmarkStart w:id="11" w:name="_Toc184898482"/>
      <w:r>
        <w:t>Utilisations et usages parmi les personnes concernées</w:t>
      </w:r>
      <w:bookmarkEnd w:id="10"/>
      <w:r>
        <w:t xml:space="preserve"> par le handicap</w:t>
      </w:r>
      <w:bookmarkEnd w:id="11"/>
    </w:p>
    <w:p w14:paraId="147E7196" w14:textId="07D5B541" w:rsidR="000E2D12" w:rsidRDefault="000E2D12" w:rsidP="000E2D12">
      <w:pPr>
        <w:rPr>
          <w:lang w:eastAsia="ja-JP"/>
        </w:rPr>
      </w:pPr>
      <w:r>
        <w:rPr>
          <w:lang w:eastAsia="ja-JP"/>
        </w:rPr>
        <w:t>L’usage des termes pour désigner les personnes «</w:t>
      </w:r>
      <w:r>
        <w:rPr>
          <w:rFonts w:ascii="Arial" w:hAnsi="Arial" w:cs="Arial"/>
          <w:lang w:eastAsia="ja-JP"/>
        </w:rPr>
        <w:t> </w:t>
      </w:r>
      <w:r>
        <w:rPr>
          <w:lang w:eastAsia="ja-JP"/>
        </w:rPr>
        <w:t>avec handicap</w:t>
      </w:r>
      <w:r>
        <w:rPr>
          <w:rFonts w:ascii="Arial" w:hAnsi="Arial" w:cs="Arial"/>
          <w:lang w:eastAsia="ja-JP"/>
        </w:rPr>
        <w:t> </w:t>
      </w:r>
      <w:r>
        <w:rPr>
          <w:lang w:eastAsia="ja-JP"/>
        </w:rPr>
        <w:t xml:space="preserve">» semble varier selon les individus et les contextes. Les témoignages collectés et recueillis par Access42 </w:t>
      </w:r>
      <w:r w:rsidR="00CB63BE">
        <w:rPr>
          <w:lang w:eastAsia="ja-JP"/>
        </w:rPr>
        <w:t xml:space="preserve">lors de cette étude </w:t>
      </w:r>
      <w:r>
        <w:rPr>
          <w:lang w:eastAsia="ja-JP"/>
        </w:rPr>
        <w:t xml:space="preserve">permettent d’apprécier </w:t>
      </w:r>
      <w:r w:rsidR="007D2C9B">
        <w:rPr>
          <w:lang w:eastAsia="ja-JP"/>
        </w:rPr>
        <w:t xml:space="preserve">non seulement les </w:t>
      </w:r>
      <w:r>
        <w:rPr>
          <w:lang w:eastAsia="ja-JP"/>
        </w:rPr>
        <w:t xml:space="preserve">préférences sémantiques </w:t>
      </w:r>
      <w:r w:rsidR="007D2C9B">
        <w:rPr>
          <w:lang w:eastAsia="ja-JP"/>
        </w:rPr>
        <w:t xml:space="preserve">mais aussi </w:t>
      </w:r>
      <w:r>
        <w:rPr>
          <w:lang w:eastAsia="ja-JP"/>
        </w:rPr>
        <w:t xml:space="preserve">l’impact des mots sur </w:t>
      </w:r>
      <w:r w:rsidR="00FD7BD8">
        <w:rPr>
          <w:lang w:eastAsia="ja-JP"/>
        </w:rPr>
        <w:t>l’</w:t>
      </w:r>
      <w:r>
        <w:rPr>
          <w:lang w:eastAsia="ja-JP"/>
        </w:rPr>
        <w:t>identité</w:t>
      </w:r>
      <w:r w:rsidR="00FD7BD8">
        <w:rPr>
          <w:lang w:eastAsia="ja-JP"/>
        </w:rPr>
        <w:t xml:space="preserve"> des personnes </w:t>
      </w:r>
      <w:r w:rsidR="00CB63BE">
        <w:rPr>
          <w:lang w:eastAsia="ja-JP"/>
        </w:rPr>
        <w:t>qui y ont répondu</w:t>
      </w:r>
      <w:r>
        <w:rPr>
          <w:lang w:eastAsia="ja-JP"/>
        </w:rPr>
        <w:t>.</w:t>
      </w:r>
    </w:p>
    <w:p w14:paraId="51D83D71" w14:textId="77777777" w:rsidR="000E2D12" w:rsidRDefault="000E2D12" w:rsidP="000E2D12">
      <w:pPr>
        <w:rPr>
          <w:lang w:eastAsia="ja-JP"/>
        </w:rPr>
      </w:pPr>
      <w:r>
        <w:rPr>
          <w:lang w:eastAsia="ja-JP"/>
        </w:rPr>
        <w:t xml:space="preserve">Par exemple, </w:t>
      </w:r>
      <w:r w:rsidRPr="5ACFE68B">
        <w:rPr>
          <w:lang w:eastAsia="ja-JP"/>
        </w:rPr>
        <w:t xml:space="preserve">en </w:t>
      </w:r>
      <w:r>
        <w:rPr>
          <w:lang w:eastAsia="ja-JP"/>
        </w:rPr>
        <w:t xml:space="preserve">2023, </w:t>
      </w:r>
      <w:r w:rsidRPr="00EF2946">
        <w:rPr>
          <w:b/>
          <w:bCs/>
          <w:lang w:eastAsia="ja-JP"/>
        </w:rPr>
        <w:t>Rafaelle Bisbarre</w:t>
      </w:r>
      <w:r>
        <w:rPr>
          <w:lang w:eastAsia="ja-JP"/>
        </w:rPr>
        <w:t xml:space="preserve"> a offert un témoignage précieux dans le cadre d’une </w:t>
      </w:r>
      <w:r w:rsidRPr="006F22C8">
        <w:rPr>
          <w:lang w:eastAsia="ja-JP"/>
        </w:rPr>
        <w:t xml:space="preserve">interview </w:t>
      </w:r>
      <w:r>
        <w:rPr>
          <w:lang w:eastAsia="ja-JP"/>
        </w:rPr>
        <w:t xml:space="preserve">menée par </w:t>
      </w:r>
      <w:r w:rsidRPr="006F22C8">
        <w:rPr>
          <w:lang w:eastAsia="ja-JP"/>
        </w:rPr>
        <w:t xml:space="preserve">Access42 </w:t>
      </w:r>
      <w:r>
        <w:rPr>
          <w:lang w:eastAsia="ja-JP"/>
        </w:rPr>
        <w:t xml:space="preserve">dans le cadre du </w:t>
      </w:r>
      <w:r w:rsidRPr="006F22C8">
        <w:rPr>
          <w:lang w:eastAsia="ja-JP"/>
        </w:rPr>
        <w:t>GAAD</w:t>
      </w:r>
      <w:r>
        <w:rPr>
          <w:rStyle w:val="Appelnotedebasdep"/>
          <w:lang w:eastAsia="ja-JP"/>
        </w:rPr>
        <w:footnoteReference w:id="12"/>
      </w:r>
      <w:r>
        <w:rPr>
          <w:lang w:eastAsia="ja-JP"/>
        </w:rPr>
        <w:t xml:space="preserve"> (</w:t>
      </w:r>
      <w:r w:rsidRPr="00EF2946">
        <w:rPr>
          <w:lang w:val="en-US" w:eastAsia="ja-JP"/>
        </w:rPr>
        <w:t>Global Accessibility Awareness Day</w:t>
      </w:r>
      <w:r>
        <w:rPr>
          <w:lang w:eastAsia="ja-JP"/>
        </w:rPr>
        <w:t>, journée mondiale de la sensibilisation à l’accessibilité).</w:t>
      </w:r>
    </w:p>
    <w:p w14:paraId="6FB9E97F" w14:textId="77777777" w:rsidR="000E2D12" w:rsidRDefault="000E2D12" w:rsidP="000E2D12">
      <w:pPr>
        <w:rPr>
          <w:lang w:eastAsia="ja-JP"/>
        </w:rPr>
      </w:pPr>
      <w:r>
        <w:rPr>
          <w:lang w:eastAsia="ja-JP"/>
        </w:rPr>
        <w:t>Elle y exprime sa préférence pour les termes «</w:t>
      </w:r>
      <w:r>
        <w:rPr>
          <w:rFonts w:ascii="Arial" w:hAnsi="Arial" w:cs="Arial"/>
          <w:lang w:eastAsia="ja-JP"/>
        </w:rPr>
        <w:t> </w:t>
      </w:r>
      <w:r>
        <w:rPr>
          <w:lang w:eastAsia="ja-JP"/>
        </w:rPr>
        <w:t>personnes en situation de handicap</w:t>
      </w:r>
      <w:r>
        <w:rPr>
          <w:rFonts w:ascii="Arial" w:hAnsi="Arial" w:cs="Arial"/>
          <w:lang w:eastAsia="ja-JP"/>
        </w:rPr>
        <w:t> </w:t>
      </w:r>
      <w:r>
        <w:rPr>
          <w:lang w:eastAsia="ja-JP"/>
        </w:rPr>
        <w:t>» et «</w:t>
      </w:r>
      <w:r>
        <w:rPr>
          <w:rFonts w:ascii="Arial" w:hAnsi="Arial" w:cs="Arial"/>
          <w:lang w:eastAsia="ja-JP"/>
        </w:rPr>
        <w:t> </w:t>
      </w:r>
      <w:r>
        <w:rPr>
          <w:lang w:eastAsia="ja-JP"/>
        </w:rPr>
        <w:t>personnes porteuses de handicap</w:t>
      </w:r>
      <w:r>
        <w:rPr>
          <w:rFonts w:ascii="Arial" w:hAnsi="Arial" w:cs="Arial"/>
          <w:lang w:eastAsia="ja-JP"/>
        </w:rPr>
        <w:t> </w:t>
      </w:r>
      <w:r>
        <w:rPr>
          <w:lang w:eastAsia="ja-JP"/>
        </w:rPr>
        <w:t>». Elle souligne que l’utilisation du terme «</w:t>
      </w:r>
      <w:r>
        <w:rPr>
          <w:rFonts w:ascii="Arial" w:hAnsi="Arial" w:cs="Arial"/>
          <w:lang w:eastAsia="ja-JP"/>
        </w:rPr>
        <w:t> </w:t>
      </w:r>
      <w:r>
        <w:rPr>
          <w:lang w:eastAsia="ja-JP"/>
        </w:rPr>
        <w:t>handicapé</w:t>
      </w:r>
      <w:r>
        <w:rPr>
          <w:rFonts w:ascii="Arial" w:hAnsi="Arial" w:cs="Arial"/>
          <w:lang w:eastAsia="ja-JP"/>
        </w:rPr>
        <w:t> </w:t>
      </w:r>
      <w:r>
        <w:rPr>
          <w:lang w:eastAsia="ja-JP"/>
        </w:rPr>
        <w:t>» tend à objectiver la personne, en réduisant son identité à son handicap. Par conséquent, elle préconise une terminologie qui reflète mieux la complexité de l’expérience humaine.</w:t>
      </w:r>
    </w:p>
    <w:p w14:paraId="4A3F97FC" w14:textId="77777777" w:rsidR="000E2D12" w:rsidRDefault="000E2D12" w:rsidP="000E2D12">
      <w:pPr>
        <w:rPr>
          <w:lang w:eastAsia="ja-JP"/>
        </w:rPr>
      </w:pPr>
      <w:r>
        <w:rPr>
          <w:lang w:eastAsia="ja-JP"/>
        </w:rPr>
        <w:t xml:space="preserve">Par ailleurs, des collectifs militants composés de personnes concernées par le handicap tels que </w:t>
      </w:r>
      <w:r w:rsidRPr="00EF2946">
        <w:rPr>
          <w:b/>
          <w:bCs/>
          <w:lang w:eastAsia="ja-JP"/>
        </w:rPr>
        <w:t>Les Dévalideuses</w:t>
      </w:r>
      <w:r>
        <w:rPr>
          <w:rStyle w:val="Appelnotedebasdep"/>
          <w:lang w:eastAsia="ja-JP"/>
        </w:rPr>
        <w:footnoteReference w:id="13"/>
      </w:r>
      <w:r>
        <w:rPr>
          <w:lang w:eastAsia="ja-JP"/>
        </w:rPr>
        <w:t xml:space="preserve"> mettent en avant l’importance d’utiliser des termes appropriés dans leurs communications. Les membres du collectif insistent sur le fait que les mots choisis doivent non seulement désigner, mais aussi célébrer la diversité et les spécificités de chaque groupe.</w:t>
      </w:r>
    </w:p>
    <w:p w14:paraId="04B6794A" w14:textId="77777777" w:rsidR="000E2D12" w:rsidRDefault="000E2D12" w:rsidP="000E2D12">
      <w:pPr>
        <w:rPr>
          <w:lang w:eastAsia="ja-JP"/>
        </w:rPr>
      </w:pPr>
      <w:r>
        <w:rPr>
          <w:lang w:eastAsia="ja-JP"/>
        </w:rPr>
        <w:lastRenderedPageBreak/>
        <w:t>Les expressions comme «</w:t>
      </w:r>
      <w:r>
        <w:rPr>
          <w:rFonts w:ascii="Arial" w:hAnsi="Arial" w:cs="Arial"/>
          <w:lang w:eastAsia="ja-JP"/>
        </w:rPr>
        <w:t> </w:t>
      </w:r>
      <w:r>
        <w:rPr>
          <w:lang w:eastAsia="ja-JP"/>
        </w:rPr>
        <w:t>personnes malvoyantes</w:t>
      </w:r>
      <w:r>
        <w:rPr>
          <w:rFonts w:ascii="Arial" w:hAnsi="Arial" w:cs="Arial"/>
          <w:lang w:eastAsia="ja-JP"/>
        </w:rPr>
        <w:t> </w:t>
      </w:r>
      <w:r>
        <w:rPr>
          <w:lang w:eastAsia="ja-JP"/>
        </w:rPr>
        <w:t>», «</w:t>
      </w:r>
      <w:r>
        <w:rPr>
          <w:rFonts w:ascii="Arial" w:hAnsi="Arial" w:cs="Arial"/>
          <w:lang w:eastAsia="ja-JP"/>
        </w:rPr>
        <w:t> </w:t>
      </w:r>
      <w:r>
        <w:rPr>
          <w:lang w:eastAsia="ja-JP"/>
        </w:rPr>
        <w:t>personnes aveugles</w:t>
      </w:r>
      <w:r>
        <w:rPr>
          <w:rFonts w:ascii="Arial" w:hAnsi="Arial" w:cs="Arial"/>
          <w:lang w:eastAsia="ja-JP"/>
        </w:rPr>
        <w:t> </w:t>
      </w:r>
      <w:r>
        <w:rPr>
          <w:lang w:eastAsia="ja-JP"/>
        </w:rPr>
        <w:t>» ou «</w:t>
      </w:r>
      <w:r>
        <w:rPr>
          <w:rFonts w:ascii="Arial" w:hAnsi="Arial" w:cs="Arial"/>
          <w:lang w:eastAsia="ja-JP"/>
        </w:rPr>
        <w:t> </w:t>
      </w:r>
      <w:r>
        <w:rPr>
          <w:lang w:eastAsia="ja-JP"/>
        </w:rPr>
        <w:t>personnes avec handicap cognitif</w:t>
      </w:r>
      <w:r>
        <w:rPr>
          <w:rFonts w:ascii="Arial" w:hAnsi="Arial" w:cs="Arial"/>
          <w:lang w:eastAsia="ja-JP"/>
        </w:rPr>
        <w:t> </w:t>
      </w:r>
      <w:r>
        <w:rPr>
          <w:lang w:eastAsia="ja-JP"/>
        </w:rPr>
        <w:t>» sont fréquemment employées dans les communications de ce collectif pour mieux représenter les expériences vécues.</w:t>
      </w:r>
    </w:p>
    <w:p w14:paraId="6757BE15" w14:textId="2B7039CF" w:rsidR="000E2D12" w:rsidRDefault="000E2D12" w:rsidP="000E2D12">
      <w:pPr>
        <w:rPr>
          <w:lang w:eastAsia="ja-JP"/>
        </w:rPr>
      </w:pPr>
      <w:r>
        <w:rPr>
          <w:lang w:eastAsia="ja-JP"/>
        </w:rPr>
        <w:t>Dans l</w:t>
      </w:r>
      <w:r w:rsidRPr="00E439E1">
        <w:rPr>
          <w:lang w:eastAsia="ja-JP"/>
        </w:rPr>
        <w:t>’article «</w:t>
      </w:r>
      <w:r>
        <w:rPr>
          <w:rFonts w:ascii="Arial" w:hAnsi="Arial" w:cs="Arial"/>
          <w:lang w:eastAsia="ja-JP"/>
        </w:rPr>
        <w:t> </w:t>
      </w:r>
      <w:r w:rsidRPr="00E22F48">
        <w:rPr>
          <w:lang w:val="en-US" w:eastAsia="ja-JP"/>
        </w:rPr>
        <w:t>Is an Identity Model Replacing the Charitable, and Social Models of Disability?</w:t>
      </w:r>
      <w:r>
        <w:rPr>
          <w:rFonts w:ascii="Arial" w:hAnsi="Arial" w:cs="Arial"/>
          <w:lang w:eastAsia="ja-JP"/>
        </w:rPr>
        <w:t> </w:t>
      </w:r>
      <w:r w:rsidRPr="00E439E1">
        <w:rPr>
          <w:lang w:eastAsia="ja-JP"/>
        </w:rPr>
        <w:t>»</w:t>
      </w:r>
      <w:r>
        <w:rPr>
          <w:rStyle w:val="Appelnotedebasdep"/>
          <w:lang w:eastAsia="ja-JP"/>
        </w:rPr>
        <w:footnoteReference w:id="14"/>
      </w:r>
      <w:r>
        <w:rPr>
          <w:lang w:eastAsia="ja-JP"/>
        </w:rPr>
        <w:t xml:space="preserve"> </w:t>
      </w:r>
      <w:r w:rsidRPr="00A8725B">
        <w:rPr>
          <w:lang w:eastAsia="ja-JP"/>
        </w:rPr>
        <w:t>(2021)</w:t>
      </w:r>
      <w:r>
        <w:rPr>
          <w:lang w:eastAsia="ja-JP"/>
        </w:rPr>
        <w:t>,</w:t>
      </w:r>
      <w:r w:rsidRPr="00E439E1">
        <w:rPr>
          <w:lang w:eastAsia="ja-JP"/>
        </w:rPr>
        <w:t xml:space="preserve"> </w:t>
      </w:r>
      <w:r w:rsidRPr="003E2994">
        <w:rPr>
          <w:b/>
          <w:bCs/>
          <w:lang w:eastAsia="ja-JP"/>
        </w:rPr>
        <w:t>Sheri Byrne-Haber</w:t>
      </w:r>
      <w:r w:rsidRPr="00A8725B">
        <w:rPr>
          <w:lang w:eastAsia="ja-JP"/>
        </w:rPr>
        <w:t xml:space="preserve"> </w:t>
      </w:r>
      <w:r w:rsidRPr="00E439E1">
        <w:rPr>
          <w:lang w:eastAsia="ja-JP"/>
        </w:rPr>
        <w:t xml:space="preserve">explore </w:t>
      </w:r>
      <w:r w:rsidR="00485E8A">
        <w:rPr>
          <w:lang w:eastAsia="ja-JP"/>
        </w:rPr>
        <w:t xml:space="preserve">de son côté </w:t>
      </w:r>
      <w:r w:rsidRPr="00E439E1">
        <w:rPr>
          <w:lang w:eastAsia="ja-JP"/>
        </w:rPr>
        <w:t>la mani</w:t>
      </w:r>
      <w:r>
        <w:rPr>
          <w:lang w:eastAsia="ja-JP"/>
        </w:rPr>
        <w:t>ère dont les personnes «</w:t>
      </w:r>
      <w:r>
        <w:rPr>
          <w:rFonts w:ascii="Arial" w:hAnsi="Arial" w:cs="Arial"/>
          <w:lang w:eastAsia="ja-JP"/>
        </w:rPr>
        <w:t> </w:t>
      </w:r>
      <w:r>
        <w:rPr>
          <w:lang w:eastAsia="ja-JP"/>
        </w:rPr>
        <w:t>avec handicap</w:t>
      </w:r>
      <w:r>
        <w:rPr>
          <w:rFonts w:ascii="Arial" w:hAnsi="Arial" w:cs="Arial"/>
          <w:lang w:eastAsia="ja-JP"/>
        </w:rPr>
        <w:t> </w:t>
      </w:r>
      <w:r>
        <w:rPr>
          <w:lang w:eastAsia="ja-JP"/>
        </w:rPr>
        <w:t>» réinterprètent les termes qui les décrivent.</w:t>
      </w:r>
    </w:p>
    <w:p w14:paraId="2C24204B" w14:textId="77777777" w:rsidR="000E2D12" w:rsidRDefault="000E2D12" w:rsidP="000E2D12">
      <w:pPr>
        <w:rPr>
          <w:lang w:eastAsia="ja-JP"/>
        </w:rPr>
      </w:pPr>
      <w:r>
        <w:rPr>
          <w:lang w:eastAsia="ja-JP"/>
        </w:rPr>
        <w:t>Byrne-Haber suggère qu’un nouveau modèle identitaire du handicap est en train d’émerger, où les personnes «</w:t>
      </w:r>
      <w:r>
        <w:rPr>
          <w:rFonts w:ascii="Arial" w:hAnsi="Arial" w:cs="Arial"/>
          <w:lang w:eastAsia="ja-JP"/>
        </w:rPr>
        <w:t> </w:t>
      </w:r>
      <w:r>
        <w:rPr>
          <w:lang w:eastAsia="ja-JP"/>
        </w:rPr>
        <w:t>avec handicap</w:t>
      </w:r>
      <w:r>
        <w:rPr>
          <w:rFonts w:ascii="Arial" w:hAnsi="Arial" w:cs="Arial"/>
          <w:lang w:eastAsia="ja-JP"/>
        </w:rPr>
        <w:t> </w:t>
      </w:r>
      <w:r>
        <w:rPr>
          <w:lang w:eastAsia="ja-JP"/>
        </w:rPr>
        <w:t>» choisissent activement les termes qui les définissent, rejetant les anciens modèles charitables ou médicaux qui les réduisent à des objets de compassion ou de soin.</w:t>
      </w:r>
    </w:p>
    <w:p w14:paraId="00F7AFF9" w14:textId="77777777" w:rsidR="000E2D12" w:rsidRDefault="000E2D12" w:rsidP="000E2D12">
      <w:pPr>
        <w:rPr>
          <w:lang w:eastAsia="ja-JP"/>
        </w:rPr>
      </w:pPr>
      <w:r w:rsidRPr="5ACFE68B">
        <w:rPr>
          <w:lang w:eastAsia="ja-JP"/>
        </w:rPr>
        <w:t>Dans cette perspective, elle recommande d’adopter une approche personnalisée en ce qui concerne le choix des termes : chaque personne doit pouvoir choisir comment elle souhaite être désignée, à l’image des pronoms que l’on choisit pour désigner son identité de genre. C’est pourquoi Byrne-Haber encourage les personnes à établir dès le début de leurs relations sociales ou professionnelles quel terme elles préfèrent utiliser pour parler de leur handicap.</w:t>
      </w:r>
    </w:p>
    <w:p w14:paraId="392684F3" w14:textId="2042EAAC" w:rsidR="000E2D12" w:rsidRDefault="000E2D12" w:rsidP="000E2D12">
      <w:pPr>
        <w:rPr>
          <w:lang w:eastAsia="ja-JP"/>
        </w:rPr>
      </w:pPr>
      <w:r w:rsidRPr="5ACFE68B">
        <w:rPr>
          <w:lang w:eastAsia="ja-JP"/>
        </w:rPr>
        <w:t>Pour une communication de groupe, elle recommande également de personnaliser les documents ou les pages web, permettant ainsi aux lecteurs et lectrices de sélectionner le terme qui correspond à leur préférence, qu’il s’agisse de</w:t>
      </w:r>
      <w:r w:rsidR="00281D1F">
        <w:rPr>
          <w:lang w:eastAsia="ja-JP"/>
        </w:rPr>
        <w:t xml:space="preserve"> termes comme</w:t>
      </w:r>
      <w:r w:rsidRPr="5ACFE68B">
        <w:rPr>
          <w:lang w:eastAsia="ja-JP"/>
        </w:rPr>
        <w:t xml:space="preserve"> «</w:t>
      </w:r>
      <w:r w:rsidRPr="5ACFE68B">
        <w:rPr>
          <w:rFonts w:ascii="Arial" w:hAnsi="Arial" w:cs="Arial"/>
          <w:lang w:eastAsia="ja-JP"/>
        </w:rPr>
        <w:t> </w:t>
      </w:r>
      <w:r w:rsidRPr="5ACFE68B">
        <w:rPr>
          <w:lang w:eastAsia="ja-JP"/>
        </w:rPr>
        <w:t>autiste</w:t>
      </w:r>
      <w:r w:rsidRPr="5ACFE68B">
        <w:rPr>
          <w:rFonts w:ascii="Arial" w:hAnsi="Arial" w:cs="Arial"/>
          <w:lang w:eastAsia="ja-JP"/>
        </w:rPr>
        <w:t> </w:t>
      </w:r>
      <w:r w:rsidRPr="5ACFE68B">
        <w:rPr>
          <w:lang w:eastAsia="ja-JP"/>
        </w:rPr>
        <w:t>», «</w:t>
      </w:r>
      <w:r w:rsidRPr="5ACFE68B">
        <w:rPr>
          <w:rFonts w:ascii="Arial" w:hAnsi="Arial" w:cs="Arial"/>
          <w:lang w:eastAsia="ja-JP"/>
        </w:rPr>
        <w:t> </w:t>
      </w:r>
      <w:r w:rsidRPr="5ACFE68B">
        <w:rPr>
          <w:lang w:eastAsia="ja-JP"/>
        </w:rPr>
        <w:t>neurodivers</w:t>
      </w:r>
      <w:r w:rsidRPr="5ACFE68B">
        <w:rPr>
          <w:rFonts w:ascii="Arial" w:hAnsi="Arial" w:cs="Arial"/>
          <w:lang w:eastAsia="ja-JP"/>
        </w:rPr>
        <w:t> </w:t>
      </w:r>
      <w:r w:rsidRPr="5ACFE68B">
        <w:rPr>
          <w:lang w:eastAsia="ja-JP"/>
        </w:rPr>
        <w:t>», ou «</w:t>
      </w:r>
      <w:r w:rsidRPr="5ACFE68B">
        <w:rPr>
          <w:rFonts w:ascii="Arial" w:hAnsi="Arial" w:cs="Arial"/>
          <w:lang w:eastAsia="ja-JP"/>
        </w:rPr>
        <w:t> </w:t>
      </w:r>
      <w:r w:rsidRPr="5ACFE68B">
        <w:rPr>
          <w:lang w:eastAsia="ja-JP"/>
        </w:rPr>
        <w:t>personnes avec le syndrome d’Asperger</w:t>
      </w:r>
      <w:r w:rsidRPr="5ACFE68B">
        <w:rPr>
          <w:rFonts w:ascii="Arial" w:hAnsi="Arial" w:cs="Arial"/>
          <w:lang w:eastAsia="ja-JP"/>
        </w:rPr>
        <w:t> </w:t>
      </w:r>
      <w:r w:rsidRPr="5ACFE68B">
        <w:rPr>
          <w:lang w:eastAsia="ja-JP"/>
        </w:rPr>
        <w:t xml:space="preserve">». </w:t>
      </w:r>
      <w:r w:rsidR="0087571A">
        <w:rPr>
          <w:lang w:eastAsia="ja-JP"/>
        </w:rPr>
        <w:t>Selon elle, c</w:t>
      </w:r>
      <w:r w:rsidRPr="5ACFE68B">
        <w:rPr>
          <w:lang w:eastAsia="ja-JP"/>
        </w:rPr>
        <w:t>ela permettrait de respecter les sensibilités individuelles toute en évitant de provoquer des objections liées à l’usage de termes inappropriés.</w:t>
      </w:r>
    </w:p>
    <w:p w14:paraId="15C73F8A" w14:textId="4B5CF706" w:rsidR="000E2D12" w:rsidRDefault="000E2D12" w:rsidP="00C74F4E">
      <w:pPr>
        <w:rPr>
          <w:lang w:eastAsia="ja-JP"/>
        </w:rPr>
      </w:pPr>
      <w:r w:rsidRPr="003E2994">
        <w:rPr>
          <w:b/>
          <w:bCs/>
          <w:lang w:eastAsia="ja-JP"/>
        </w:rPr>
        <w:t>Sophie Drouvroy</w:t>
      </w:r>
      <w:r>
        <w:rPr>
          <w:lang w:eastAsia="ja-JP"/>
        </w:rPr>
        <w:t xml:space="preserve"> </w:t>
      </w:r>
      <w:r w:rsidR="00596628">
        <w:rPr>
          <w:lang w:eastAsia="ja-JP"/>
        </w:rPr>
        <w:t xml:space="preserve">quant à elle </w:t>
      </w:r>
      <w:r>
        <w:rPr>
          <w:lang w:eastAsia="ja-JP"/>
        </w:rPr>
        <w:t>soulève</w:t>
      </w:r>
      <w:r>
        <w:rPr>
          <w:rStyle w:val="Appelnotedebasdep"/>
          <w:lang w:eastAsia="ja-JP"/>
        </w:rPr>
        <w:footnoteReference w:id="15"/>
      </w:r>
      <w:r>
        <w:rPr>
          <w:lang w:eastAsia="ja-JP"/>
        </w:rPr>
        <w:t xml:space="preserve"> un autre enjeu sémantique, à savoir la confusion entre les termes «</w:t>
      </w:r>
      <w:r>
        <w:rPr>
          <w:rFonts w:ascii="Arial" w:hAnsi="Arial" w:cs="Arial"/>
          <w:lang w:eastAsia="ja-JP"/>
        </w:rPr>
        <w:t> </w:t>
      </w:r>
      <w:r>
        <w:rPr>
          <w:lang w:eastAsia="ja-JP"/>
        </w:rPr>
        <w:t>malentendant</w:t>
      </w:r>
      <w:r>
        <w:rPr>
          <w:rFonts w:ascii="Arial" w:hAnsi="Arial" w:cs="Arial"/>
          <w:lang w:eastAsia="ja-JP"/>
        </w:rPr>
        <w:t> </w:t>
      </w:r>
      <w:r>
        <w:rPr>
          <w:lang w:eastAsia="ja-JP"/>
        </w:rPr>
        <w:t>» et «</w:t>
      </w:r>
      <w:r>
        <w:rPr>
          <w:rFonts w:ascii="Arial" w:hAnsi="Arial" w:cs="Arial"/>
          <w:lang w:eastAsia="ja-JP"/>
        </w:rPr>
        <w:t> </w:t>
      </w:r>
      <w:r>
        <w:rPr>
          <w:lang w:eastAsia="ja-JP"/>
        </w:rPr>
        <w:t>sourd</w:t>
      </w:r>
      <w:r>
        <w:rPr>
          <w:rFonts w:ascii="Arial" w:hAnsi="Arial" w:cs="Arial"/>
          <w:lang w:eastAsia="ja-JP"/>
        </w:rPr>
        <w:t> </w:t>
      </w:r>
      <w:r>
        <w:rPr>
          <w:lang w:eastAsia="ja-JP"/>
        </w:rPr>
        <w:t>», particulièrement dans le cadre de l’accessibilité. Elle pose la question de l’impact de cette confusion sur les personnes concernées, notamment lorsqu’il s’agit de services ou de plateformes qui ne prennent pas en compte les besoins spécifiques de chaque groupe.</w:t>
      </w:r>
    </w:p>
    <w:p w14:paraId="17DD473C" w14:textId="77777777" w:rsidR="000E2D12" w:rsidRDefault="000E2D12" w:rsidP="00C74F4E">
      <w:pPr>
        <w:rPr>
          <w:lang w:eastAsia="ja-JP"/>
        </w:rPr>
      </w:pPr>
      <w:r w:rsidRPr="41E2B674">
        <w:rPr>
          <w:lang w:eastAsia="ja-JP"/>
        </w:rPr>
        <w:t xml:space="preserve">Un dernier aspect du vocabulaire autour du handicap interpelle </w:t>
      </w:r>
      <w:r w:rsidRPr="003E2994">
        <w:rPr>
          <w:b/>
          <w:bCs/>
          <w:lang w:eastAsia="ja-JP"/>
        </w:rPr>
        <w:t>Pete Stone</w:t>
      </w:r>
      <w:r w:rsidRPr="41E2B674">
        <w:rPr>
          <w:rStyle w:val="Appelnotedebasdep"/>
          <w:lang w:eastAsia="ja-JP"/>
        </w:rPr>
        <w:footnoteReference w:id="16"/>
      </w:r>
      <w:r w:rsidRPr="41E2B674">
        <w:rPr>
          <w:lang w:eastAsia="ja-JP"/>
        </w:rPr>
        <w:t xml:space="preserve">, qui nous livre dans son blog une réflexion autour du mot </w:t>
      </w:r>
      <w:r>
        <w:rPr>
          <w:lang w:eastAsia="ja-JP"/>
        </w:rPr>
        <w:t>« </w:t>
      </w:r>
      <w:r w:rsidRPr="41E2B674">
        <w:rPr>
          <w:lang w:eastAsia="ja-JP"/>
        </w:rPr>
        <w:t>valide</w:t>
      </w:r>
      <w:r>
        <w:rPr>
          <w:lang w:eastAsia="ja-JP"/>
        </w:rPr>
        <w:t> »</w:t>
      </w:r>
      <w:r w:rsidRPr="41E2B674">
        <w:rPr>
          <w:lang w:eastAsia="ja-JP"/>
        </w:rPr>
        <w:t xml:space="preserve">. Selon lui, ce terme utilisé pour parler des personnes sans handicap en dit long sur la représentation des personnes avec handicap, </w:t>
      </w:r>
      <w:r>
        <w:rPr>
          <w:lang w:eastAsia="ja-JP"/>
        </w:rPr>
        <w:t>« </w:t>
      </w:r>
      <w:r w:rsidRPr="41E2B674">
        <w:rPr>
          <w:lang w:eastAsia="ja-JP"/>
        </w:rPr>
        <w:t xml:space="preserve">ce mot </w:t>
      </w:r>
      <w:r>
        <w:rPr>
          <w:lang w:eastAsia="ja-JP"/>
        </w:rPr>
        <w:t>[</w:t>
      </w:r>
      <w:r w:rsidRPr="41E2B674">
        <w:rPr>
          <w:lang w:eastAsia="ja-JP"/>
        </w:rPr>
        <w:t>véhiculant] autant d’images négatives</w:t>
      </w:r>
      <w:r>
        <w:rPr>
          <w:lang w:eastAsia="ja-JP"/>
        </w:rPr>
        <w:t> » :</w:t>
      </w:r>
    </w:p>
    <w:p w14:paraId="1F0281D2" w14:textId="77777777" w:rsidR="000E2D12" w:rsidRDefault="000E2D12" w:rsidP="000E2D12">
      <w:pPr>
        <w:pStyle w:val="Citationintense"/>
      </w:pPr>
      <w:r>
        <w:t>« </w:t>
      </w:r>
      <w:r w:rsidRPr="00AE073F">
        <w:t xml:space="preserve">Ensuite, j’ai regardé les synonymes et j’ai trouvé </w:t>
      </w:r>
      <w:r>
        <w:t>“</w:t>
      </w:r>
      <w:r w:rsidRPr="00AE073F">
        <w:t>sain</w:t>
      </w:r>
      <w:r>
        <w:t>”</w:t>
      </w:r>
      <w:r w:rsidRPr="00AE073F">
        <w:t xml:space="preserve">, </w:t>
      </w:r>
      <w:r>
        <w:t>“</w:t>
      </w:r>
      <w:r w:rsidRPr="00AE073F">
        <w:t>valable</w:t>
      </w:r>
      <w:r>
        <w:t>”</w:t>
      </w:r>
      <w:r w:rsidRPr="00AE073F">
        <w:t xml:space="preserve"> et </w:t>
      </w:r>
      <w:r>
        <w:t>“</w:t>
      </w:r>
      <w:r w:rsidRPr="00AE073F">
        <w:t>vivant</w:t>
      </w:r>
      <w:r>
        <w:t>”</w:t>
      </w:r>
      <w:r w:rsidRPr="00AE073F">
        <w:t xml:space="preserve"> et je me suis dit</w:t>
      </w:r>
      <w:r>
        <w:t xml:space="preserve"> “</w:t>
      </w:r>
      <w:r w:rsidRPr="00AE073F">
        <w:t>Je suis handicapé*, donc je ne suis pas valide. Et pourtant, je suis vivant. De ça je suis certain</w:t>
      </w:r>
      <w:r>
        <w:t> </w:t>
      </w:r>
      <w:r w:rsidRPr="00AE073F">
        <w:t>! Je pense aussi être sain et valable.</w:t>
      </w:r>
      <w:r>
        <w:t>”</w:t>
      </w:r>
      <w:r w:rsidRPr="00AE073F">
        <w:t xml:space="preserve"> Je le dis avec un peu de légèreté et d’humour qui </w:t>
      </w:r>
      <w:r w:rsidRPr="00AE073F">
        <w:lastRenderedPageBreak/>
        <w:t>manquent souvent quand on évoque le handicap. Mais il y a un fond très sérieux derrière ces propos.</w:t>
      </w:r>
      <w:r>
        <w:t> »</w:t>
      </w:r>
    </w:p>
    <w:p w14:paraId="3E3B1188" w14:textId="77777777" w:rsidR="000E2D12" w:rsidRDefault="000E2D12" w:rsidP="00BF31F3">
      <w:pPr>
        <w:rPr>
          <w:lang w:eastAsia="ja-JP"/>
        </w:rPr>
      </w:pPr>
      <w:r>
        <w:rPr>
          <w:lang w:eastAsia="ja-JP"/>
        </w:rPr>
        <w:t xml:space="preserve">Autrement dit, </w:t>
      </w:r>
      <w:r w:rsidRPr="41E2B674">
        <w:rPr>
          <w:lang w:eastAsia="ja-JP"/>
        </w:rPr>
        <w:t>la question du vocabulaire autour du handicap et des stéréotypes véhiculés ne s’arrête pas à la façon de nommer les personnes concernées.</w:t>
      </w:r>
    </w:p>
    <w:p w14:paraId="7B1C69BE" w14:textId="1816C7D4" w:rsidR="000E2D12" w:rsidRDefault="00924F14" w:rsidP="00BF31F3">
      <w:pPr>
        <w:rPr>
          <w:lang w:eastAsia="ja-JP"/>
        </w:rPr>
      </w:pPr>
      <w:r>
        <w:rPr>
          <w:lang w:eastAsia="ja-JP"/>
        </w:rPr>
        <w:t>Enfin</w:t>
      </w:r>
      <w:r w:rsidR="000E2D12">
        <w:rPr>
          <w:lang w:eastAsia="ja-JP"/>
        </w:rPr>
        <w:t xml:space="preserve">, </w:t>
      </w:r>
      <w:r w:rsidR="000E2D12" w:rsidRPr="41E2B674">
        <w:rPr>
          <w:lang w:eastAsia="ja-JP"/>
        </w:rPr>
        <w:t xml:space="preserve">dans </w:t>
      </w:r>
      <w:r w:rsidR="000E2D12">
        <w:rPr>
          <w:lang w:eastAsia="ja-JP"/>
        </w:rPr>
        <w:t>l’</w:t>
      </w:r>
      <w:r w:rsidR="000E2D12" w:rsidRPr="41E2B674">
        <w:rPr>
          <w:lang w:eastAsia="ja-JP"/>
        </w:rPr>
        <w:t xml:space="preserve">ouvrage </w:t>
      </w:r>
      <w:r w:rsidR="000E2D12" w:rsidRPr="003E2994">
        <w:rPr>
          <w:i/>
          <w:iCs/>
          <w:lang w:eastAsia="ja-JP"/>
        </w:rPr>
        <w:t>Au-delà de l’opposition valide et handicapé</w:t>
      </w:r>
      <w:r w:rsidR="000E2D12">
        <w:rPr>
          <w:rStyle w:val="Appelnotedebasdep"/>
          <w:i/>
          <w:iCs/>
          <w:lang w:eastAsia="ja-JP"/>
        </w:rPr>
        <w:footnoteReference w:id="17"/>
      </w:r>
      <w:r w:rsidR="000E2D12" w:rsidRPr="41E2B674">
        <w:rPr>
          <w:lang w:eastAsia="ja-JP"/>
        </w:rPr>
        <w:t xml:space="preserve">, </w:t>
      </w:r>
      <w:r w:rsidR="00136AF1" w:rsidRPr="003E2994">
        <w:rPr>
          <w:b/>
          <w:bCs/>
          <w:lang w:eastAsia="ja-JP"/>
        </w:rPr>
        <w:t>Henri-Jacques Sticker</w:t>
      </w:r>
      <w:r w:rsidR="00136AF1" w:rsidRPr="00136AF1">
        <w:rPr>
          <w:lang w:eastAsia="ja-JP"/>
        </w:rPr>
        <w:t xml:space="preserve"> </w:t>
      </w:r>
      <w:r w:rsidR="000E2D12" w:rsidRPr="41E2B674">
        <w:rPr>
          <w:lang w:eastAsia="ja-JP"/>
        </w:rPr>
        <w:t>analyse la comparaison systématique de ces deux termes et fait le constat que cette opposition est toujours en défaveur des personnes avec handicap.</w:t>
      </w:r>
    </w:p>
    <w:p w14:paraId="0C1187FA" w14:textId="77777777" w:rsidR="000E2D12" w:rsidRPr="00664018" w:rsidRDefault="000E2D12" w:rsidP="000E2D12">
      <w:pPr>
        <w:pStyle w:val="Titre3"/>
      </w:pPr>
      <w:bookmarkStart w:id="12" w:name="_Toc179298931"/>
      <w:bookmarkStart w:id="13" w:name="_Toc184898483"/>
      <w:r>
        <w:t>Démarche d’Access42</w:t>
      </w:r>
      <w:bookmarkEnd w:id="12"/>
      <w:bookmarkEnd w:id="13"/>
    </w:p>
    <w:p w14:paraId="179A2F4E" w14:textId="6A9252E7" w:rsidR="000E2D12" w:rsidRDefault="000E2D12" w:rsidP="000E2D12">
      <w:r>
        <w:t xml:space="preserve">Chez Access42, ces réflexions </w:t>
      </w:r>
      <w:r w:rsidR="00871527">
        <w:t xml:space="preserve">sur le langage </w:t>
      </w:r>
      <w:r>
        <w:t>sont menées de manière collective depuis plusieurs années.</w:t>
      </w:r>
      <w:r w:rsidRPr="00131D13">
        <w:t xml:space="preserve"> </w:t>
      </w:r>
      <w:r>
        <w:t xml:space="preserve">Nous avons notamment abordé cette problématique dans l’article de blog </w:t>
      </w:r>
      <w:r w:rsidRPr="00C80165">
        <w:t>«</w:t>
      </w:r>
      <w:r>
        <w:rPr>
          <w:rFonts w:ascii="Arial" w:hAnsi="Arial" w:cs="Arial"/>
        </w:rPr>
        <w:t> </w:t>
      </w:r>
      <w:r w:rsidRPr="00C80165">
        <w:t>Accessibilité numérique : améliorons nos arguments</w:t>
      </w:r>
      <w:r>
        <w:rPr>
          <w:rFonts w:ascii="Arial" w:hAnsi="Arial" w:cs="Arial"/>
        </w:rPr>
        <w:t> </w:t>
      </w:r>
      <w:r w:rsidRPr="00C80165">
        <w:t>»</w:t>
      </w:r>
      <w:r>
        <w:rPr>
          <w:rStyle w:val="Appelnotedebasdep"/>
        </w:rPr>
        <w:footnoteReference w:id="18"/>
      </w:r>
      <w:r>
        <w:t> : celui-ci mettait en avant la nécessité d’un vocabulaire précis, respectueux et adapté dans les communications liées à l’accessibilité.</w:t>
      </w:r>
    </w:p>
    <w:p w14:paraId="111580A1" w14:textId="77777777" w:rsidR="000E2D12" w:rsidRDefault="000E2D12" w:rsidP="000E2D12">
      <w:r>
        <w:t xml:space="preserve">Cependant, malgré nos recherches et les témoignages collectés, </w:t>
      </w:r>
      <w:r w:rsidRPr="002257DD">
        <w:rPr>
          <w:b/>
          <w:bCs/>
        </w:rPr>
        <w:t>aucun consensus ne nous a semblé exister quant à une terminologie qui pourrait être utilisée de manière universelle, sans nuire aux personnes concernées par le handicap</w:t>
      </w:r>
      <w:r>
        <w:t>.</w:t>
      </w:r>
    </w:p>
    <w:p w14:paraId="00F46A4C" w14:textId="77777777" w:rsidR="000E2D12" w:rsidRDefault="000E2D12" w:rsidP="000E2D12">
      <w:pPr>
        <w:rPr>
          <w:lang w:eastAsia="ja-JP"/>
        </w:rPr>
      </w:pPr>
      <w:r>
        <w:t xml:space="preserve">C’est pourquoi </w:t>
      </w:r>
      <w:r w:rsidRPr="5ACFE68B">
        <w:rPr>
          <w:lang w:eastAsia="ja-JP"/>
        </w:rPr>
        <w:t>nous avons voulu interroger un panel de personnes «</w:t>
      </w:r>
      <w:r w:rsidRPr="5ACFE68B">
        <w:rPr>
          <w:rFonts w:ascii="Arial" w:hAnsi="Arial" w:cs="Arial"/>
          <w:lang w:eastAsia="ja-JP"/>
        </w:rPr>
        <w:t> </w:t>
      </w:r>
      <w:r w:rsidRPr="5ACFE68B">
        <w:rPr>
          <w:lang w:eastAsia="ja-JP"/>
        </w:rPr>
        <w:t>avec handicap » (PSH) sur leur façon de se considérer, les termes qu’elles préfèrent utiliser et ceux qu’elles rejettent.</w:t>
      </w:r>
    </w:p>
    <w:p w14:paraId="3B9E95DD" w14:textId="77777777" w:rsidR="000E2D12" w:rsidRPr="00536D00" w:rsidRDefault="000E2D12" w:rsidP="000E2D12">
      <w:pPr>
        <w:rPr>
          <w:b/>
          <w:bCs/>
          <w:highlight w:val="yellow"/>
          <w:lang w:eastAsia="ja-JP"/>
        </w:rPr>
      </w:pPr>
      <w:r w:rsidRPr="64E34295">
        <w:rPr>
          <w:lang w:eastAsia="ja-JP"/>
        </w:rPr>
        <w:t>L’objectif de l’étude que nous avons menée en janvier 2023</w:t>
      </w:r>
      <w:r w:rsidRPr="002257DD">
        <w:rPr>
          <w:b/>
          <w:bCs/>
          <w:lang w:eastAsia="ja-JP"/>
        </w:rPr>
        <w:t xml:space="preserve"> </w:t>
      </w:r>
      <w:r w:rsidRPr="64E34295">
        <w:rPr>
          <w:lang w:eastAsia="ja-JP"/>
        </w:rPr>
        <w:t>était de comprendre non seulement comment une sélection de termes précis était perçue, mais aussi d’apprécier les différences de perception entre les personnes.</w:t>
      </w:r>
    </w:p>
    <w:p w14:paraId="4DE8183A" w14:textId="02801758" w:rsidR="000E2D12" w:rsidRDefault="000E2D12" w:rsidP="000E2D12">
      <w:pPr>
        <w:rPr>
          <w:lang w:eastAsia="ja-JP"/>
        </w:rPr>
      </w:pPr>
      <w:r w:rsidRPr="41E2B674">
        <w:rPr>
          <w:lang w:eastAsia="ja-JP"/>
        </w:rPr>
        <w:t xml:space="preserve">Nous avons également interrogé des personnes </w:t>
      </w:r>
      <w:r>
        <w:rPr>
          <w:lang w:eastAsia="ja-JP"/>
        </w:rPr>
        <w:t>« </w:t>
      </w:r>
      <w:r w:rsidRPr="41E2B674">
        <w:rPr>
          <w:lang w:eastAsia="ja-JP"/>
        </w:rPr>
        <w:t>sans handicap</w:t>
      </w:r>
      <w:r>
        <w:rPr>
          <w:lang w:eastAsia="ja-JP"/>
        </w:rPr>
        <w:t> »</w:t>
      </w:r>
      <w:r w:rsidRPr="41E2B674">
        <w:rPr>
          <w:lang w:eastAsia="ja-JP"/>
        </w:rPr>
        <w:t xml:space="preserve"> (NPSH) afin de </w:t>
      </w:r>
      <w:r w:rsidR="005D064C">
        <w:rPr>
          <w:lang w:eastAsia="ja-JP"/>
        </w:rPr>
        <w:t xml:space="preserve">vérifier </w:t>
      </w:r>
      <w:r w:rsidRPr="41E2B674">
        <w:rPr>
          <w:lang w:eastAsia="ja-JP"/>
        </w:rPr>
        <w:t>s’il existe des différences significatives d’emplois de termes entres les deux groupes sujets et</w:t>
      </w:r>
      <w:r w:rsidR="004A6882">
        <w:rPr>
          <w:lang w:eastAsia="ja-JP"/>
        </w:rPr>
        <w:t xml:space="preserve">, le cas échéant, </w:t>
      </w:r>
      <w:r w:rsidR="00A9190A">
        <w:rPr>
          <w:lang w:eastAsia="ja-JP"/>
        </w:rPr>
        <w:t xml:space="preserve">d’en comprendre </w:t>
      </w:r>
      <w:r w:rsidRPr="41E2B674">
        <w:rPr>
          <w:lang w:eastAsia="ja-JP"/>
        </w:rPr>
        <w:t xml:space="preserve">les raisons. En effet, si certains stéréotypes persistent dans la société, </w:t>
      </w:r>
      <w:r w:rsidR="007F78A1">
        <w:rPr>
          <w:lang w:eastAsia="ja-JP"/>
        </w:rPr>
        <w:t xml:space="preserve">c’est selon nous parce qu’ils </w:t>
      </w:r>
      <w:r w:rsidR="003F2D23">
        <w:rPr>
          <w:lang w:eastAsia="ja-JP"/>
        </w:rPr>
        <w:t xml:space="preserve">donnent à voir certains </w:t>
      </w:r>
      <w:r w:rsidR="00705DFB">
        <w:rPr>
          <w:lang w:eastAsia="ja-JP"/>
        </w:rPr>
        <w:t>rapports de domination</w:t>
      </w:r>
      <w:r w:rsidR="003F2D23">
        <w:rPr>
          <w:lang w:eastAsia="ja-JP"/>
        </w:rPr>
        <w:t>.</w:t>
      </w:r>
    </w:p>
    <w:p w14:paraId="5BF63F50" w14:textId="20114CDF" w:rsidR="000E2D12" w:rsidRDefault="000E2D12" w:rsidP="00E662A2">
      <w:pPr>
        <w:rPr>
          <w:lang w:eastAsia="ja-JP"/>
        </w:rPr>
      </w:pPr>
      <w:r w:rsidRPr="41E2B674">
        <w:rPr>
          <w:lang w:eastAsia="ja-JP"/>
        </w:rPr>
        <w:t xml:space="preserve">L’objectif principal de </w:t>
      </w:r>
      <w:r w:rsidR="0022196D">
        <w:rPr>
          <w:lang w:eastAsia="ja-JP"/>
        </w:rPr>
        <w:t xml:space="preserve">notre </w:t>
      </w:r>
      <w:r w:rsidRPr="41E2B674">
        <w:rPr>
          <w:lang w:eastAsia="ja-JP"/>
        </w:rPr>
        <w:t xml:space="preserve">étude </w:t>
      </w:r>
      <w:r w:rsidR="00476C58">
        <w:rPr>
          <w:lang w:eastAsia="ja-JP"/>
        </w:rPr>
        <w:t>était</w:t>
      </w:r>
      <w:r w:rsidRPr="41E2B674">
        <w:rPr>
          <w:lang w:eastAsia="ja-JP"/>
        </w:rPr>
        <w:t xml:space="preserve"> donc d’étudier l’utilisation des termes utilisés pour nommer les personnes concernées par le handicap. Ainsi, il nous a paru intéressant d’évaluer également les préférences de vocabulaire utilisées pour déterminer les personnes </w:t>
      </w:r>
      <w:r>
        <w:rPr>
          <w:lang w:eastAsia="ja-JP"/>
        </w:rPr>
        <w:t>« </w:t>
      </w:r>
      <w:r w:rsidRPr="41E2B674">
        <w:rPr>
          <w:lang w:eastAsia="ja-JP"/>
        </w:rPr>
        <w:t>sans handicap</w:t>
      </w:r>
      <w:r>
        <w:rPr>
          <w:lang w:eastAsia="ja-JP"/>
        </w:rPr>
        <w:t> »</w:t>
      </w:r>
      <w:r w:rsidRPr="41E2B674">
        <w:rPr>
          <w:lang w:eastAsia="ja-JP"/>
        </w:rPr>
        <w:t xml:space="preserve">, puisque la manière de nommer ce groupe influence directement la manière dont nous percevons les personnes </w:t>
      </w:r>
      <w:r w:rsidR="00CF6B50">
        <w:rPr>
          <w:lang w:eastAsia="ja-JP"/>
        </w:rPr>
        <w:t xml:space="preserve">qui le </w:t>
      </w:r>
      <w:r w:rsidRPr="41E2B674">
        <w:rPr>
          <w:lang w:eastAsia="ja-JP"/>
        </w:rPr>
        <w:t>compos</w:t>
      </w:r>
      <w:r w:rsidR="00CF6B50">
        <w:rPr>
          <w:lang w:eastAsia="ja-JP"/>
        </w:rPr>
        <w:t>e</w:t>
      </w:r>
      <w:r w:rsidRPr="41E2B674">
        <w:rPr>
          <w:lang w:eastAsia="ja-JP"/>
        </w:rPr>
        <w:t xml:space="preserve"> et</w:t>
      </w:r>
      <w:r w:rsidR="00044DCA">
        <w:rPr>
          <w:lang w:eastAsia="ja-JP"/>
        </w:rPr>
        <w:t xml:space="preserve">, par extension, </w:t>
      </w:r>
      <w:r w:rsidRPr="41E2B674">
        <w:rPr>
          <w:lang w:eastAsia="ja-JP"/>
        </w:rPr>
        <w:t xml:space="preserve">celles </w:t>
      </w:r>
      <w:r w:rsidR="004D7AD1">
        <w:rPr>
          <w:lang w:eastAsia="ja-JP"/>
        </w:rPr>
        <w:t xml:space="preserve">qui </w:t>
      </w:r>
      <w:r w:rsidRPr="41E2B674">
        <w:rPr>
          <w:lang w:eastAsia="ja-JP"/>
        </w:rPr>
        <w:t xml:space="preserve">n’en </w:t>
      </w:r>
      <w:r w:rsidR="004D7AD1">
        <w:rPr>
          <w:lang w:eastAsia="ja-JP"/>
        </w:rPr>
        <w:t xml:space="preserve">font </w:t>
      </w:r>
      <w:r w:rsidRPr="41E2B674">
        <w:rPr>
          <w:lang w:eastAsia="ja-JP"/>
        </w:rPr>
        <w:t>pas parti</w:t>
      </w:r>
      <w:r>
        <w:rPr>
          <w:lang w:eastAsia="ja-JP"/>
        </w:rPr>
        <w:t>e</w:t>
      </w:r>
      <w:r w:rsidRPr="41E2B674">
        <w:rPr>
          <w:lang w:eastAsia="ja-JP"/>
        </w:rPr>
        <w:t>.</w:t>
      </w:r>
    </w:p>
    <w:p w14:paraId="10E7BC87" w14:textId="77777777" w:rsidR="000E2D12" w:rsidRDefault="000E2D12" w:rsidP="00E662A2">
      <w:pPr>
        <w:rPr>
          <w:lang w:eastAsia="ja-JP"/>
        </w:rPr>
      </w:pPr>
      <w:r w:rsidRPr="41E2B674">
        <w:rPr>
          <w:lang w:eastAsia="ja-JP"/>
        </w:rPr>
        <w:t xml:space="preserve">En effet, le groupe de personnes </w:t>
      </w:r>
      <w:r>
        <w:rPr>
          <w:lang w:eastAsia="ja-JP"/>
        </w:rPr>
        <w:t>« </w:t>
      </w:r>
      <w:r w:rsidRPr="41E2B674">
        <w:rPr>
          <w:lang w:eastAsia="ja-JP"/>
        </w:rPr>
        <w:t>sans handicap</w:t>
      </w:r>
      <w:r>
        <w:rPr>
          <w:lang w:eastAsia="ja-JP"/>
        </w:rPr>
        <w:t> »</w:t>
      </w:r>
      <w:r w:rsidRPr="41E2B674">
        <w:rPr>
          <w:lang w:eastAsia="ja-JP"/>
        </w:rPr>
        <w:t xml:space="preserve"> est directement opposé au groupe de personnes </w:t>
      </w:r>
      <w:r>
        <w:rPr>
          <w:lang w:eastAsia="ja-JP"/>
        </w:rPr>
        <w:t>« </w:t>
      </w:r>
      <w:r w:rsidRPr="41E2B674">
        <w:rPr>
          <w:lang w:eastAsia="ja-JP"/>
        </w:rPr>
        <w:t>avec handicap</w:t>
      </w:r>
      <w:r>
        <w:rPr>
          <w:lang w:eastAsia="ja-JP"/>
        </w:rPr>
        <w:t> »</w:t>
      </w:r>
      <w:r w:rsidRPr="41E2B674">
        <w:rPr>
          <w:lang w:eastAsia="ja-JP"/>
        </w:rPr>
        <w:t xml:space="preserve">. Si l’un est dit </w:t>
      </w:r>
      <w:r>
        <w:rPr>
          <w:lang w:eastAsia="ja-JP"/>
        </w:rPr>
        <w:t>« </w:t>
      </w:r>
      <w:r w:rsidRPr="41E2B674">
        <w:rPr>
          <w:lang w:eastAsia="ja-JP"/>
        </w:rPr>
        <w:t>capable</w:t>
      </w:r>
      <w:r>
        <w:rPr>
          <w:lang w:eastAsia="ja-JP"/>
        </w:rPr>
        <w:t> »</w:t>
      </w:r>
      <w:r w:rsidRPr="41E2B674">
        <w:rPr>
          <w:lang w:eastAsia="ja-JP"/>
        </w:rPr>
        <w:t xml:space="preserve">, l’autre peut être </w:t>
      </w:r>
      <w:r>
        <w:rPr>
          <w:lang w:eastAsia="ja-JP"/>
        </w:rPr>
        <w:t>compris comme</w:t>
      </w:r>
      <w:r w:rsidRPr="41E2B674">
        <w:rPr>
          <w:lang w:eastAsia="ja-JP"/>
        </w:rPr>
        <w:t xml:space="preserve"> </w:t>
      </w:r>
      <w:r>
        <w:rPr>
          <w:lang w:eastAsia="ja-JP"/>
        </w:rPr>
        <w:t>« inc</w:t>
      </w:r>
      <w:r w:rsidRPr="41E2B674">
        <w:rPr>
          <w:lang w:eastAsia="ja-JP"/>
        </w:rPr>
        <w:t>apable</w:t>
      </w:r>
      <w:r>
        <w:rPr>
          <w:lang w:eastAsia="ja-JP"/>
        </w:rPr>
        <w:t> »</w:t>
      </w:r>
      <w:r w:rsidRPr="41E2B674">
        <w:rPr>
          <w:lang w:eastAsia="ja-JP"/>
        </w:rPr>
        <w:t xml:space="preserve">. Si le premier est dit </w:t>
      </w:r>
      <w:r>
        <w:rPr>
          <w:lang w:eastAsia="ja-JP"/>
        </w:rPr>
        <w:t>« </w:t>
      </w:r>
      <w:r w:rsidRPr="41E2B674">
        <w:rPr>
          <w:lang w:eastAsia="ja-JP"/>
        </w:rPr>
        <w:t>valide</w:t>
      </w:r>
      <w:r>
        <w:rPr>
          <w:lang w:eastAsia="ja-JP"/>
        </w:rPr>
        <w:t> »</w:t>
      </w:r>
      <w:r w:rsidRPr="41E2B674">
        <w:rPr>
          <w:lang w:eastAsia="ja-JP"/>
        </w:rPr>
        <w:t xml:space="preserve">, </w:t>
      </w:r>
      <w:r>
        <w:rPr>
          <w:lang w:eastAsia="ja-JP"/>
        </w:rPr>
        <w:t xml:space="preserve">cela peut laisser penser que </w:t>
      </w:r>
      <w:r w:rsidRPr="41E2B674">
        <w:rPr>
          <w:lang w:eastAsia="ja-JP"/>
        </w:rPr>
        <w:t xml:space="preserve">le second serait </w:t>
      </w:r>
      <w:r>
        <w:rPr>
          <w:lang w:eastAsia="ja-JP"/>
        </w:rPr>
        <w:t>« </w:t>
      </w:r>
      <w:r w:rsidRPr="41E2B674">
        <w:rPr>
          <w:lang w:eastAsia="ja-JP"/>
        </w:rPr>
        <w:t>invalide</w:t>
      </w:r>
      <w:r>
        <w:rPr>
          <w:lang w:eastAsia="ja-JP"/>
        </w:rPr>
        <w:t> »</w:t>
      </w:r>
      <w:r w:rsidRPr="41E2B674">
        <w:rPr>
          <w:lang w:eastAsia="ja-JP"/>
        </w:rPr>
        <w:t>.</w:t>
      </w:r>
    </w:p>
    <w:p w14:paraId="25384011" w14:textId="77777777" w:rsidR="000E2D12" w:rsidRDefault="000E2D12" w:rsidP="00AE7C84">
      <w:pPr>
        <w:rPr>
          <w:lang w:eastAsia="ja-JP"/>
        </w:rPr>
      </w:pPr>
      <w:r>
        <w:rPr>
          <w:lang w:eastAsia="ja-JP"/>
        </w:rPr>
        <w:lastRenderedPageBreak/>
        <w:t>Selon nous, l</w:t>
      </w:r>
      <w:r w:rsidRPr="41E2B674">
        <w:rPr>
          <w:lang w:eastAsia="ja-JP"/>
        </w:rPr>
        <w:t xml:space="preserve">es mots employés pour désigner les personnes avec handicap </w:t>
      </w:r>
      <w:r>
        <w:rPr>
          <w:lang w:eastAsia="ja-JP"/>
        </w:rPr>
        <w:t xml:space="preserve">d’une part </w:t>
      </w:r>
      <w:r w:rsidRPr="41E2B674">
        <w:rPr>
          <w:lang w:eastAsia="ja-JP"/>
        </w:rPr>
        <w:t xml:space="preserve">et des personnes sans handicap </w:t>
      </w:r>
      <w:r>
        <w:rPr>
          <w:lang w:eastAsia="ja-JP"/>
        </w:rPr>
        <w:t xml:space="preserve">d’autre part </w:t>
      </w:r>
      <w:r w:rsidRPr="41E2B674">
        <w:rPr>
          <w:lang w:eastAsia="ja-JP"/>
        </w:rPr>
        <w:t>sont donc intrinsèquement liés et doivent être étudiés en parallèle.</w:t>
      </w:r>
    </w:p>
    <w:p w14:paraId="79FE886A" w14:textId="77777777" w:rsidR="000E2D12" w:rsidRDefault="000E2D12" w:rsidP="000E2D12">
      <w:pPr>
        <w:pStyle w:val="Titre2"/>
      </w:pPr>
      <w:bookmarkStart w:id="14" w:name="_Toc179298932"/>
      <w:bookmarkStart w:id="15" w:name="_Toc184898484"/>
      <w:r>
        <w:t>Méthodologie</w:t>
      </w:r>
      <w:bookmarkEnd w:id="14"/>
      <w:bookmarkEnd w:id="15"/>
    </w:p>
    <w:p w14:paraId="34C44C36" w14:textId="77777777" w:rsidR="000E2D12" w:rsidRDefault="000E2D12" w:rsidP="000E2D12">
      <w:pPr>
        <w:pStyle w:val="Titre3"/>
      </w:pPr>
      <w:bookmarkStart w:id="16" w:name="_Toc179298933"/>
      <w:bookmarkStart w:id="17" w:name="_Toc184898485"/>
      <w:r>
        <w:t>Objectifs de l’étude</w:t>
      </w:r>
      <w:bookmarkEnd w:id="16"/>
      <w:bookmarkEnd w:id="17"/>
    </w:p>
    <w:p w14:paraId="69AC7746" w14:textId="77777777" w:rsidR="000E2D12" w:rsidRDefault="000E2D12" w:rsidP="00097335">
      <w:pPr>
        <w:rPr>
          <w:lang w:eastAsia="ja-JP"/>
        </w:rPr>
      </w:pPr>
      <w:r w:rsidRPr="64E34295">
        <w:rPr>
          <w:lang w:eastAsia="ja-JP"/>
        </w:rPr>
        <w:t>Le langage utilisé pour désigner le handicap est une problématique récurrente qui ne se limite pas seulement au domaine professionnel. Il s’agit d’une question d’inclusion et de respect, car le choix des mots peut influencer directement la perception sociale des personnes «</w:t>
      </w:r>
      <w:r w:rsidRPr="64E34295">
        <w:rPr>
          <w:rFonts w:ascii="Arial" w:hAnsi="Arial" w:cs="Arial"/>
          <w:lang w:eastAsia="ja-JP"/>
        </w:rPr>
        <w:t> </w:t>
      </w:r>
      <w:r w:rsidRPr="64E34295">
        <w:rPr>
          <w:lang w:eastAsia="ja-JP"/>
        </w:rPr>
        <w:t>avec handicap</w:t>
      </w:r>
      <w:r w:rsidRPr="64E34295">
        <w:rPr>
          <w:rFonts w:ascii="Arial" w:hAnsi="Arial" w:cs="Arial"/>
          <w:lang w:eastAsia="ja-JP"/>
        </w:rPr>
        <w:t> </w:t>
      </w:r>
      <w:r w:rsidRPr="64E34295">
        <w:rPr>
          <w:lang w:eastAsia="ja-JP"/>
        </w:rPr>
        <w:t>» et de la manière dont elles s’auto-identifient. L’enjeu est donc majeur.</w:t>
      </w:r>
    </w:p>
    <w:p w14:paraId="1868B975" w14:textId="536F9523" w:rsidR="000E2D12" w:rsidRDefault="000E2D12" w:rsidP="00097335">
      <w:pPr>
        <w:rPr>
          <w:lang w:eastAsia="ja-JP"/>
        </w:rPr>
      </w:pPr>
      <w:r w:rsidRPr="5ACFE68B">
        <w:rPr>
          <w:lang w:eastAsia="ja-JP"/>
        </w:rPr>
        <w:t>Les principaux objectifs de l’enquête menée par Access42 en 2023 étaient de définir un ou plusieurs termes permettant de désigner les personnes concernées par le handicap</w:t>
      </w:r>
      <w:r w:rsidR="004D53EE">
        <w:rPr>
          <w:lang w:eastAsia="ja-JP"/>
        </w:rPr>
        <w:t>, mais aussi</w:t>
      </w:r>
      <w:r w:rsidRPr="5ACFE68B">
        <w:rPr>
          <w:lang w:eastAsia="ja-JP"/>
        </w:rPr>
        <w:t xml:space="preserve"> d’établir une nomenclature qui respecte la dignité des personnes tout en tenant compte de leurs préférences personnelles.</w:t>
      </w:r>
    </w:p>
    <w:p w14:paraId="049F8F1B" w14:textId="77777777" w:rsidR="000E2D12" w:rsidRDefault="000E2D12" w:rsidP="00097335">
      <w:pPr>
        <w:rPr>
          <w:lang w:eastAsia="ja-JP"/>
        </w:rPr>
      </w:pPr>
      <w:r w:rsidRPr="5ACFE68B">
        <w:rPr>
          <w:lang w:eastAsia="ja-JP"/>
        </w:rPr>
        <w:t>Pour cela, il était important d’analyser :</w:t>
      </w:r>
    </w:p>
    <w:p w14:paraId="7841AADD" w14:textId="77777777" w:rsidR="000E2D12" w:rsidRPr="00A454B1" w:rsidRDefault="000E2D12" w:rsidP="000E2D12">
      <w:pPr>
        <w:pStyle w:val="Paragraphedeliste"/>
      </w:pPr>
      <w:r>
        <w:t xml:space="preserve">la </w:t>
      </w:r>
      <w:r w:rsidRPr="5ACFE68B">
        <w:rPr>
          <w:b/>
          <w:bCs/>
        </w:rPr>
        <w:t>variabilité interindividuelle</w:t>
      </w:r>
      <w:r>
        <w:t>, c’est-à-dire les différences de préférences entre plusieurs individus</w:t>
      </w:r>
      <w:r w:rsidRPr="5ACFE68B">
        <w:rPr>
          <w:rFonts w:ascii="Arial" w:hAnsi="Arial" w:cs="Arial"/>
        </w:rPr>
        <w:t> </w:t>
      </w:r>
      <w:r>
        <w:t>;</w:t>
      </w:r>
    </w:p>
    <w:p w14:paraId="0A44D900" w14:textId="77777777" w:rsidR="000E2D12" w:rsidRDefault="000E2D12" w:rsidP="000E2D12">
      <w:pPr>
        <w:pStyle w:val="Paragraphedeliste"/>
        <w:numPr>
          <w:ilvl w:val="0"/>
          <w:numId w:val="25"/>
        </w:numPr>
      </w:pPr>
      <w:r>
        <w:t xml:space="preserve">la </w:t>
      </w:r>
      <w:r w:rsidRPr="00C220E7">
        <w:rPr>
          <w:b/>
          <w:bCs/>
        </w:rPr>
        <w:t>variabilité intra-individuelle</w:t>
      </w:r>
      <w:r>
        <w:t>, c’est-à-dire l’évolution des préférences pour une même personne en fonction du contexte.</w:t>
      </w:r>
    </w:p>
    <w:p w14:paraId="0E457A18" w14:textId="77777777" w:rsidR="000E2D12" w:rsidRDefault="000E2D12" w:rsidP="000E2D12">
      <w:pPr>
        <w:pStyle w:val="Titre3"/>
      </w:pPr>
      <w:bookmarkStart w:id="18" w:name="_Toc179298934"/>
      <w:bookmarkStart w:id="19" w:name="_Toc184898486"/>
      <w:r>
        <w:t>Création du questionnaire</w:t>
      </w:r>
      <w:bookmarkEnd w:id="18"/>
      <w:bookmarkEnd w:id="19"/>
    </w:p>
    <w:p w14:paraId="7C0AE415" w14:textId="77777777" w:rsidR="00612A33" w:rsidRDefault="000E2D12" w:rsidP="000E2D12">
      <w:pPr>
        <w:rPr>
          <w:lang w:eastAsia="ja-JP"/>
        </w:rPr>
      </w:pPr>
      <w:r>
        <w:rPr>
          <w:lang w:eastAsia="ja-JP"/>
        </w:rPr>
        <w:t xml:space="preserve">L’enquête a été réalisée au moyen d’un questionnaire en ligne, comportant 28 questions. Ces questions ont été réparties entre deux parcours destinés aux PSH et aux </w:t>
      </w:r>
      <w:r w:rsidR="000B00BE">
        <w:rPr>
          <w:lang w:eastAsia="ja-JP"/>
        </w:rPr>
        <w:t>N</w:t>
      </w:r>
      <w:r>
        <w:rPr>
          <w:lang w:eastAsia="ja-JP"/>
        </w:rPr>
        <w:t>PSH.</w:t>
      </w:r>
    </w:p>
    <w:p w14:paraId="1A699AD3" w14:textId="5792FA4A" w:rsidR="000E2D12" w:rsidRDefault="000E2D12" w:rsidP="000E2D12">
      <w:pPr>
        <w:rPr>
          <w:lang w:eastAsia="ja-JP"/>
        </w:rPr>
      </w:pPr>
      <w:r>
        <w:rPr>
          <w:lang w:eastAsia="ja-JP"/>
        </w:rPr>
        <w:t>Deux formats de question ont été utilisés : les questions à choix multiples et les questions ouvertes. Nous avons utilisé l’outil de création de questionnaires LimeSurvey.</w:t>
      </w:r>
    </w:p>
    <w:p w14:paraId="60655BA7" w14:textId="77777777" w:rsidR="000E2D12" w:rsidRDefault="000E2D12" w:rsidP="005563C3">
      <w:pPr>
        <w:rPr>
          <w:lang w:eastAsia="ja-JP"/>
        </w:rPr>
      </w:pPr>
      <w:r>
        <w:rPr>
          <w:lang w:eastAsia="ja-JP"/>
        </w:rPr>
        <w:t>Ces questions couvraient plusieurs aspects importants, notamment :</w:t>
      </w:r>
    </w:p>
    <w:p w14:paraId="2B7A0F0E" w14:textId="77777777" w:rsidR="000E2D12" w:rsidRDefault="000E2D12" w:rsidP="000E2D12">
      <w:pPr>
        <w:pStyle w:val="Paragraphedeliste"/>
      </w:pPr>
      <w:r>
        <w:t xml:space="preserve">les </w:t>
      </w:r>
      <w:r w:rsidRPr="5ACFE68B">
        <w:rPr>
          <w:b/>
          <w:bCs/>
        </w:rPr>
        <w:t>termes privilégiés pour désigner les PSH</w:t>
      </w:r>
      <w:r w:rsidRPr="5ACFE68B">
        <w:rPr>
          <w:rFonts w:ascii="Arial" w:hAnsi="Arial" w:cs="Arial"/>
        </w:rPr>
        <w:t> </w:t>
      </w:r>
      <w:r>
        <w:t>;</w:t>
      </w:r>
    </w:p>
    <w:p w14:paraId="04A04975" w14:textId="29D385E2" w:rsidR="000E2D12" w:rsidRDefault="000E2D12" w:rsidP="000E2D12">
      <w:pPr>
        <w:pStyle w:val="Paragraphedeliste"/>
      </w:pPr>
      <w:r>
        <w:t xml:space="preserve">les </w:t>
      </w:r>
      <w:r w:rsidRPr="5ACFE68B">
        <w:rPr>
          <w:b/>
          <w:bCs/>
        </w:rPr>
        <w:t>termes rejetés</w:t>
      </w:r>
      <w:r>
        <w:t xml:space="preserve"> et les raisons de </w:t>
      </w:r>
      <w:r w:rsidR="001A59B4">
        <w:t>ce</w:t>
      </w:r>
      <w:r>
        <w:t xml:space="preserve"> rejet</w:t>
      </w:r>
      <w:r w:rsidRPr="5ACFE68B">
        <w:rPr>
          <w:rFonts w:ascii="Arial" w:hAnsi="Arial" w:cs="Arial"/>
        </w:rPr>
        <w:t> </w:t>
      </w:r>
      <w:r>
        <w:t>;</w:t>
      </w:r>
    </w:p>
    <w:p w14:paraId="142EB7EB" w14:textId="77777777" w:rsidR="000E2D12" w:rsidRDefault="000E2D12" w:rsidP="000E2D12">
      <w:pPr>
        <w:pStyle w:val="Paragraphedeliste"/>
      </w:pPr>
      <w:r w:rsidRPr="5ACFE68B">
        <w:rPr>
          <w:b/>
          <w:bCs/>
        </w:rPr>
        <w:t>l’importance du choix des mots</w:t>
      </w:r>
      <w:r>
        <w:t xml:space="preserve"> dans différents contextes</w:t>
      </w:r>
      <w:r w:rsidRPr="5ACFE68B">
        <w:rPr>
          <w:rFonts w:ascii="Arial" w:hAnsi="Arial" w:cs="Arial"/>
        </w:rPr>
        <w:t> </w:t>
      </w:r>
      <w:r>
        <w:t>;</w:t>
      </w:r>
    </w:p>
    <w:p w14:paraId="5F525E81" w14:textId="2D7D9F1D" w:rsidR="000E2D12" w:rsidRDefault="000E2D12" w:rsidP="000E2D12">
      <w:pPr>
        <w:pStyle w:val="Paragraphedeliste"/>
      </w:pPr>
      <w:r>
        <w:t xml:space="preserve">le </w:t>
      </w:r>
      <w:r w:rsidRPr="5ACFE68B">
        <w:rPr>
          <w:b/>
          <w:bCs/>
        </w:rPr>
        <w:t xml:space="preserve">vocabulaire préféré pour désigner les </w:t>
      </w:r>
      <w:r w:rsidR="00D76632">
        <w:rPr>
          <w:b/>
          <w:bCs/>
        </w:rPr>
        <w:t>N</w:t>
      </w:r>
      <w:r w:rsidRPr="5ACFE68B">
        <w:rPr>
          <w:b/>
          <w:bCs/>
        </w:rPr>
        <w:t>PSH</w:t>
      </w:r>
      <w:r>
        <w:t>.</w:t>
      </w:r>
    </w:p>
    <w:p w14:paraId="7600542D" w14:textId="77777777" w:rsidR="000E2D12" w:rsidRDefault="000E2D12" w:rsidP="00B428AA">
      <w:r w:rsidRPr="5ACFE68B">
        <w:rPr>
          <w:lang w:eastAsia="ja-JP"/>
        </w:rPr>
        <w:t xml:space="preserve">Pour garantir l’accessibilité numérique et l’utilisabilité du questionnaire, des tests préliminaires ont été réalisés </w:t>
      </w:r>
      <w:r>
        <w:t xml:space="preserve">afin de le valider avant diffusion, </w:t>
      </w:r>
      <w:r w:rsidRPr="5ACFE68B">
        <w:rPr>
          <w:lang w:eastAsia="ja-JP"/>
        </w:rPr>
        <w:t xml:space="preserve">en suivant la méthodologie de Conception Centrée </w:t>
      </w:r>
      <w:r w:rsidRPr="5ACFE68B">
        <w:rPr>
          <w:lang w:eastAsia="ja-JP"/>
        </w:rPr>
        <w:lastRenderedPageBreak/>
        <w:t>Utilisateur</w:t>
      </w:r>
      <w:r w:rsidRPr="5ACFE68B">
        <w:rPr>
          <w:rStyle w:val="Appelnotedebasdep"/>
        </w:rPr>
        <w:footnoteReference w:id="19"/>
      </w:r>
      <w:r>
        <w:t>. Les questions permettant de débriefer ces tests préliminaires ont été basées sur le «</w:t>
      </w:r>
      <w:r w:rsidRPr="5ACFE68B">
        <w:rPr>
          <w:rFonts w:ascii="Arial" w:hAnsi="Arial" w:cs="Arial"/>
        </w:rPr>
        <w:t> </w:t>
      </w:r>
      <w:r w:rsidRPr="00823F98">
        <w:rPr>
          <w:lang w:val="en-US"/>
        </w:rPr>
        <w:t>User Experience Questionnaire</w:t>
      </w:r>
      <w:r w:rsidRPr="5ACFE68B">
        <w:rPr>
          <w:rFonts w:ascii="Arial" w:hAnsi="Arial" w:cs="Arial"/>
        </w:rPr>
        <w:t> </w:t>
      </w:r>
      <w:r>
        <w:t>»</w:t>
      </w:r>
      <w:r w:rsidRPr="5ACFE68B">
        <w:rPr>
          <w:rStyle w:val="Appelnotedebasdep"/>
        </w:rPr>
        <w:footnoteReference w:id="20"/>
      </w:r>
      <w:r>
        <w:t>.</w:t>
      </w:r>
    </w:p>
    <w:p w14:paraId="05AA2FF9" w14:textId="2AAE5ED1" w:rsidR="000E2D12" w:rsidRPr="00415821" w:rsidRDefault="000E2D12" w:rsidP="007C3C75">
      <w:r>
        <w:t>Grâce aux retours des personnes ayant participé à ces tests préliminaires, nous avons amélioré le questionnaire avant de diffuser l’étude sur le web auprès du grand public.</w:t>
      </w:r>
    </w:p>
    <w:p w14:paraId="6CFF0D0A" w14:textId="77777777" w:rsidR="000E2D12" w:rsidRDefault="000E2D12" w:rsidP="000E2D12">
      <w:pPr>
        <w:pStyle w:val="Titre3"/>
      </w:pPr>
      <w:bookmarkStart w:id="20" w:name="_Toc179298935"/>
      <w:bookmarkStart w:id="21" w:name="_Toc184898487"/>
      <w:r>
        <w:t>Canaux de diffusion</w:t>
      </w:r>
      <w:bookmarkEnd w:id="20"/>
      <w:bookmarkEnd w:id="21"/>
    </w:p>
    <w:p w14:paraId="0FA43192" w14:textId="77777777" w:rsidR="000E2D12" w:rsidRPr="000873FB" w:rsidRDefault="000E2D12" w:rsidP="006015D0">
      <w:pPr>
        <w:rPr>
          <w:lang w:eastAsia="ja-JP"/>
        </w:rPr>
      </w:pPr>
      <w:r w:rsidRPr="5ACFE68B">
        <w:rPr>
          <w:lang w:eastAsia="ja-JP"/>
        </w:rPr>
        <w:t>La diffusion du questionnaire s’est faite au moyen de plusieurs canaux :</w:t>
      </w:r>
    </w:p>
    <w:p w14:paraId="290E681C" w14:textId="68D09C41" w:rsidR="000E2D12" w:rsidRDefault="000E2D12" w:rsidP="000E2D12">
      <w:pPr>
        <w:pStyle w:val="Paragraphedeliste"/>
      </w:pPr>
      <w:r w:rsidRPr="5ACFE68B">
        <w:rPr>
          <w:b/>
          <w:bCs/>
        </w:rPr>
        <w:t>sur les réseaux sociaux</w:t>
      </w:r>
      <w:r>
        <w:t xml:space="preserve"> (LinkedIn et X)</w:t>
      </w:r>
      <w:r w:rsidRPr="5ACFE68B">
        <w:rPr>
          <w:rFonts w:ascii="Arial" w:hAnsi="Arial" w:cs="Arial"/>
        </w:rPr>
        <w:t> </w:t>
      </w:r>
      <w:r>
        <w:t>;</w:t>
      </w:r>
    </w:p>
    <w:p w14:paraId="00F29C76" w14:textId="1C8EAF75" w:rsidR="009B6062" w:rsidRDefault="00D83CFE" w:rsidP="000E2D12">
      <w:pPr>
        <w:pStyle w:val="Paragraphedeliste"/>
      </w:pPr>
      <w:r>
        <w:rPr>
          <w:b/>
          <w:bCs/>
        </w:rPr>
        <w:t>au moyen de</w:t>
      </w:r>
      <w:r w:rsidR="009B6062">
        <w:rPr>
          <w:b/>
          <w:bCs/>
        </w:rPr>
        <w:t xml:space="preserve"> la </w:t>
      </w:r>
      <w:r w:rsidR="009B6062" w:rsidRPr="00383410">
        <w:rPr>
          <w:b/>
          <w:bCs/>
          <w:lang w:val="en-US"/>
        </w:rPr>
        <w:t>newsletter</w:t>
      </w:r>
      <w:r w:rsidR="009B6062">
        <w:rPr>
          <w:b/>
          <w:bCs/>
        </w:rPr>
        <w:t xml:space="preserve"> d’Access42 ;</w:t>
      </w:r>
    </w:p>
    <w:p w14:paraId="28BCCB3F" w14:textId="77777777" w:rsidR="000E2D12" w:rsidRPr="001E5C79" w:rsidRDefault="000E2D12" w:rsidP="000E2D12">
      <w:pPr>
        <w:pStyle w:val="Paragraphedeliste"/>
      </w:pPr>
      <w:r w:rsidRPr="5ACFE68B">
        <w:rPr>
          <w:b/>
          <w:bCs/>
        </w:rPr>
        <w:t xml:space="preserve">auprès de différentes associations de personnes handicapées, </w:t>
      </w:r>
      <w:r>
        <w:t>que nous remercions pour leur soutien et l’aide apportée à la diffusion de ce questionnaire auprès de leurs membres.</w:t>
      </w:r>
    </w:p>
    <w:p w14:paraId="6DCDF7E4" w14:textId="77777777" w:rsidR="000E2D12" w:rsidRDefault="000E2D12" w:rsidP="00C82A07">
      <w:r>
        <w:t>Cette stratégie a permis de recueillir des réponses diversifiées et de toucher des populations variées en termes de handicap, ce qui a pu contribuer à améliorer la représentativité dans les résultats.</w:t>
      </w:r>
    </w:p>
    <w:p w14:paraId="11ABD506" w14:textId="77777777" w:rsidR="000E2D12" w:rsidRDefault="000E2D12" w:rsidP="000E2D12">
      <w:pPr>
        <w:pStyle w:val="Titre2"/>
      </w:pPr>
      <w:bookmarkStart w:id="22" w:name="_Toc179298936"/>
      <w:bookmarkStart w:id="23" w:name="_Toc184898488"/>
      <w:r>
        <w:t>Résultats</w:t>
      </w:r>
      <w:bookmarkEnd w:id="22"/>
      <w:bookmarkEnd w:id="23"/>
    </w:p>
    <w:p w14:paraId="4929E3B4" w14:textId="2F404BA0" w:rsidR="00E2575A" w:rsidRPr="00E2575A" w:rsidRDefault="00E2575A" w:rsidP="00E2575A">
      <w:pPr>
        <w:pStyle w:val="Titre3"/>
      </w:pPr>
      <w:r w:rsidRPr="00E2575A">
        <w:t>Avertissement</w:t>
      </w:r>
    </w:p>
    <w:p w14:paraId="1250A115" w14:textId="4FF4073B" w:rsidR="00E2575A" w:rsidRDefault="00E2575A" w:rsidP="00E2575A">
      <w:r>
        <w:t xml:space="preserve">Il est important de préciser que cette étude a vu le jour à la seule initiative de </w:t>
      </w:r>
      <w:r w:rsidR="00AE6ADC">
        <w:t>l’</w:t>
      </w:r>
      <w:r>
        <w:t>équipe</w:t>
      </w:r>
      <w:r w:rsidR="00AE6ADC">
        <w:t xml:space="preserve"> d’Access42</w:t>
      </w:r>
      <w:r>
        <w:t xml:space="preserve">, </w:t>
      </w:r>
      <w:r w:rsidR="00744122">
        <w:t xml:space="preserve">sans aucune </w:t>
      </w:r>
      <w:r>
        <w:t>caution ni légitimité scientifique.</w:t>
      </w:r>
    </w:p>
    <w:p w14:paraId="5361C264" w14:textId="52A3032D" w:rsidR="00E2575A" w:rsidRDefault="00E2575A" w:rsidP="00E2575A">
      <w:r>
        <w:t xml:space="preserve">Pour tenter de limiter </w:t>
      </w:r>
      <w:r w:rsidR="007E518B">
        <w:t xml:space="preserve">les </w:t>
      </w:r>
      <w:r>
        <w:t xml:space="preserve">biais d’interprétation, </w:t>
      </w:r>
      <w:r w:rsidR="007E518B">
        <w:t xml:space="preserve">Access42 a fait </w:t>
      </w:r>
      <w:r>
        <w:t>appel à un prestataire externe pour interpréter les résultats et en livrer une synthèse.</w:t>
      </w:r>
      <w:r w:rsidR="00CE7507">
        <w:t xml:space="preserve"> Le présent rapport s’appuie sur ce travail.</w:t>
      </w:r>
    </w:p>
    <w:p w14:paraId="08180FF0" w14:textId="77777777" w:rsidR="000E2D12" w:rsidRPr="004E2A37" w:rsidRDefault="000E2D12" w:rsidP="000E2D12">
      <w:pPr>
        <w:pStyle w:val="Titre3"/>
      </w:pPr>
      <w:bookmarkStart w:id="24" w:name="_Toc179298937"/>
      <w:bookmarkStart w:id="25" w:name="_Toc184898489"/>
      <w:r>
        <w:t>Description du panel</w:t>
      </w:r>
      <w:bookmarkEnd w:id="24"/>
      <w:bookmarkEnd w:id="25"/>
      <w:r>
        <w:t> </w:t>
      </w:r>
    </w:p>
    <w:p w14:paraId="1E282BFA" w14:textId="77777777" w:rsidR="000E2D12" w:rsidRDefault="000E2D12" w:rsidP="000E2D12">
      <w:pPr>
        <w:rPr>
          <w:lang w:eastAsia="ja-JP"/>
        </w:rPr>
      </w:pPr>
      <w:r>
        <w:rPr>
          <w:lang w:eastAsia="ja-JP"/>
        </w:rPr>
        <w:t xml:space="preserve">L’enquête a permis de recueillir un total de </w:t>
      </w:r>
      <w:r w:rsidRPr="007F2DDC">
        <w:rPr>
          <w:b/>
          <w:bCs/>
          <w:lang w:eastAsia="ja-JP"/>
        </w:rPr>
        <w:t>316 réponses</w:t>
      </w:r>
      <w:r>
        <w:rPr>
          <w:lang w:eastAsia="ja-JP"/>
        </w:rPr>
        <w:t xml:space="preserve">, réparties en deux groupes distincts : </w:t>
      </w:r>
    </w:p>
    <w:p w14:paraId="062BDBBB" w14:textId="77777777" w:rsidR="000E2D12" w:rsidRDefault="000E2D12" w:rsidP="000E2D12">
      <w:pPr>
        <w:pStyle w:val="Paragraphedeliste"/>
        <w:numPr>
          <w:ilvl w:val="0"/>
          <w:numId w:val="25"/>
        </w:numPr>
      </w:pPr>
      <w:r>
        <w:t>123 personnes «</w:t>
      </w:r>
      <w:r w:rsidRPr="001E5183">
        <w:rPr>
          <w:rFonts w:ascii="Arial" w:hAnsi="Arial" w:cs="Arial"/>
        </w:rPr>
        <w:t> </w:t>
      </w:r>
      <w:r>
        <w:t>avec handicap</w:t>
      </w:r>
      <w:r w:rsidRPr="001E5183">
        <w:rPr>
          <w:rFonts w:ascii="Arial" w:hAnsi="Arial" w:cs="Arial"/>
        </w:rPr>
        <w:t> </w:t>
      </w:r>
      <w:r>
        <w:t>» (PSH) ;</w:t>
      </w:r>
    </w:p>
    <w:p w14:paraId="5B995A77" w14:textId="29DA0683" w:rsidR="000E2D12" w:rsidRDefault="000E2D12" w:rsidP="000E2D12">
      <w:pPr>
        <w:pStyle w:val="Paragraphedeliste"/>
        <w:numPr>
          <w:ilvl w:val="0"/>
          <w:numId w:val="25"/>
        </w:numPr>
      </w:pPr>
      <w:r>
        <w:t>193 personnes «</w:t>
      </w:r>
      <w:r w:rsidRPr="001E5183">
        <w:rPr>
          <w:rFonts w:ascii="Arial" w:hAnsi="Arial" w:cs="Arial"/>
        </w:rPr>
        <w:t> </w:t>
      </w:r>
      <w:r>
        <w:t>sans handicap</w:t>
      </w:r>
      <w:r w:rsidRPr="001E5183">
        <w:rPr>
          <w:rFonts w:ascii="Arial" w:hAnsi="Arial" w:cs="Arial"/>
        </w:rPr>
        <w:t> </w:t>
      </w:r>
      <w:r>
        <w:t>» (</w:t>
      </w:r>
      <w:r w:rsidR="002E2154">
        <w:t>N</w:t>
      </w:r>
      <w:r>
        <w:t>PSH).</w:t>
      </w:r>
    </w:p>
    <w:p w14:paraId="5D587581" w14:textId="704A2133" w:rsidR="00612A33" w:rsidRDefault="00612A33" w:rsidP="00612A33">
      <w:r>
        <w:t>Les résultats ont été pondérés pour tenir compte de la sur-représentation de ces dernières.</w:t>
      </w:r>
    </w:p>
    <w:p w14:paraId="253076A7" w14:textId="4D4B5C35" w:rsidR="000E2D12" w:rsidRDefault="000E2D12" w:rsidP="000E2D12">
      <w:pPr>
        <w:rPr>
          <w:lang w:eastAsia="ja-JP"/>
        </w:rPr>
      </w:pPr>
      <w:r w:rsidRPr="64E34295">
        <w:rPr>
          <w:lang w:eastAsia="ja-JP"/>
        </w:rPr>
        <w:lastRenderedPageBreak/>
        <w:t xml:space="preserve">Le questionnaire était composé de </w:t>
      </w:r>
      <w:r w:rsidRPr="00FE5CFE">
        <w:rPr>
          <w:b/>
          <w:bCs/>
          <w:lang w:eastAsia="ja-JP"/>
        </w:rPr>
        <w:t>28 questions</w:t>
      </w:r>
      <w:r w:rsidRPr="64E34295">
        <w:rPr>
          <w:lang w:eastAsia="ja-JP"/>
        </w:rPr>
        <w:t>, dont certaines étaient posées aux deux groupes, tandis que d’autres étaient spécifiquement adaptées en fonction de l’appartenance aux groupes PSH ou NPSH.</w:t>
      </w:r>
    </w:p>
    <w:p w14:paraId="4F449BF7" w14:textId="77777777" w:rsidR="000E2D12" w:rsidRDefault="000E2D12" w:rsidP="000E2D12">
      <w:pPr>
        <w:pStyle w:val="Titre4"/>
      </w:pPr>
      <w:r>
        <w:t>Répartition des handicaps parmi les PSH</w:t>
      </w:r>
    </w:p>
    <w:p w14:paraId="06F0138E" w14:textId="1CA36860" w:rsidR="003E38AD" w:rsidRPr="003E38AD" w:rsidRDefault="007E0A87" w:rsidP="003E38AD">
      <w:pPr>
        <w:pStyle w:val="Titre5"/>
      </w:pPr>
      <w:r>
        <w:t>R</w:t>
      </w:r>
      <w:r w:rsidR="003E38AD" w:rsidRPr="003E38AD">
        <w:t>eprésentation des capacités impactées par le handicap des répondants PSH</w:t>
      </w:r>
    </w:p>
    <w:p w14:paraId="16202E85" w14:textId="769315AB" w:rsidR="000E2D12" w:rsidRDefault="00082C1F" w:rsidP="000E2D12">
      <w:pPr>
        <w:keepNext/>
        <w:jc w:val="center"/>
      </w:pPr>
      <w:r w:rsidRPr="00082C1F">
        <w:rPr>
          <w:noProof/>
        </w:rPr>
        <w:drawing>
          <wp:inline distT="0" distB="0" distL="0" distR="0" wp14:anchorId="03B34466" wp14:editId="7FBDC97C">
            <wp:extent cx="4004672" cy="2357924"/>
            <wp:effectExtent l="0" t="0" r="0" b="4445"/>
            <wp:docPr id="855129656" name="Imag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129656" name="Image 1">
                      <a:extLst>
                        <a:ext uri="{C183D7F6-B498-43B3-948B-1728B52AA6E4}">
                          <adec:decorative xmlns:adec="http://schemas.microsoft.com/office/drawing/2017/decorative" val="1"/>
                        </a:ext>
                      </a:extLst>
                    </pic:cNvPr>
                    <pic:cNvPicPr/>
                  </pic:nvPicPr>
                  <pic:blipFill>
                    <a:blip r:embed="rId12"/>
                    <a:stretch>
                      <a:fillRect/>
                    </a:stretch>
                  </pic:blipFill>
                  <pic:spPr>
                    <a:xfrm>
                      <a:off x="0" y="0"/>
                      <a:ext cx="4020525" cy="2367258"/>
                    </a:xfrm>
                    <a:prstGeom prst="rect">
                      <a:avLst/>
                    </a:prstGeom>
                  </pic:spPr>
                </pic:pic>
              </a:graphicData>
            </a:graphic>
          </wp:inline>
        </w:drawing>
      </w:r>
    </w:p>
    <w:p w14:paraId="441416AA" w14:textId="3933DD3A" w:rsidR="000E2D12" w:rsidRDefault="000E2D12" w:rsidP="00B2133E">
      <w:pPr>
        <w:rPr>
          <w:b/>
          <w:bCs/>
          <w:lang w:eastAsia="ja-JP"/>
        </w:rPr>
      </w:pPr>
      <w:r w:rsidRPr="64E34295">
        <w:rPr>
          <w:lang w:eastAsia="ja-JP"/>
        </w:rPr>
        <w:t xml:space="preserve">Parmi les 123 PSH ayant répondu à l’enquête, </w:t>
      </w:r>
      <w:r w:rsidRPr="00EF2946">
        <w:rPr>
          <w:b/>
          <w:bCs/>
          <w:lang w:eastAsia="ja-JP"/>
        </w:rPr>
        <w:t>plusieurs types de handicaps étaient représentés, ce qui permet d’obtenir une vision diversifiée des besoins et perceptions</w:t>
      </w:r>
      <w:r w:rsidR="00344A3C">
        <w:rPr>
          <w:b/>
          <w:bCs/>
          <w:lang w:eastAsia="ja-JP"/>
        </w:rPr>
        <w:t>.</w:t>
      </w:r>
    </w:p>
    <w:p w14:paraId="3C3DB95C" w14:textId="07842207" w:rsidR="00344A3C" w:rsidRDefault="00344A3C" w:rsidP="00B2133E">
      <w:r>
        <w:t>Cette question a r</w:t>
      </w:r>
      <w:r w:rsidR="006D6401">
        <w:t>e</w:t>
      </w:r>
      <w:r>
        <w:t xml:space="preserve">çu 214 réponses, soit un total supérieur à celui du nombre de répondants PSH (123) : cela </w:t>
      </w:r>
      <w:r w:rsidR="00580210">
        <w:t xml:space="preserve">semble </w:t>
      </w:r>
      <w:r w:rsidR="003119CE">
        <w:t>indique</w:t>
      </w:r>
      <w:r w:rsidR="00580210">
        <w:t>r</w:t>
      </w:r>
      <w:r w:rsidR="003119CE">
        <w:t xml:space="preserve"> </w:t>
      </w:r>
      <w:r>
        <w:t>que la plupart des personnes répondantes sont concernées par un handicap impactant plusieurs de leurs capacités.</w:t>
      </w:r>
    </w:p>
    <w:p w14:paraId="51B64FCC" w14:textId="35659A49" w:rsidR="000E2D12" w:rsidRDefault="003772A5" w:rsidP="000E2D12">
      <w:pPr>
        <w:pStyle w:val="Paragraphedeliste"/>
        <w:numPr>
          <w:ilvl w:val="0"/>
          <w:numId w:val="25"/>
        </w:numPr>
      </w:pPr>
      <w:r>
        <w:t>53 personnes</w:t>
      </w:r>
      <w:r w:rsidR="005D78F0">
        <w:t xml:space="preserve"> (</w:t>
      </w:r>
      <w:r w:rsidR="002328B6">
        <w:t>24,8 %)</w:t>
      </w:r>
      <w:r w:rsidR="00CB4D2C">
        <w:t xml:space="preserve"> </w:t>
      </w:r>
      <w:r w:rsidR="000E2D12">
        <w:t>ont déclaré que leur handicap impactait leurs déplacements</w:t>
      </w:r>
      <w:r w:rsidR="000E2D12" w:rsidRPr="64E34295">
        <w:rPr>
          <w:rFonts w:ascii="Arial" w:hAnsi="Arial" w:cs="Arial"/>
        </w:rPr>
        <w:t> </w:t>
      </w:r>
      <w:r w:rsidR="000E2D12">
        <w:t>;</w:t>
      </w:r>
    </w:p>
    <w:p w14:paraId="5A202F5B" w14:textId="79150F89" w:rsidR="000E2D12" w:rsidRDefault="00FE2E94" w:rsidP="000E2D12">
      <w:pPr>
        <w:pStyle w:val="Paragraphedeliste"/>
        <w:numPr>
          <w:ilvl w:val="0"/>
          <w:numId w:val="25"/>
        </w:numPr>
      </w:pPr>
      <w:r>
        <w:t>46 personnes</w:t>
      </w:r>
      <w:r w:rsidR="0074765E">
        <w:t xml:space="preserve"> (</w:t>
      </w:r>
      <w:r w:rsidR="00C62CEC">
        <w:t>21</w:t>
      </w:r>
      <w:r w:rsidR="0074765E">
        <w:t>,</w:t>
      </w:r>
      <w:r w:rsidR="00C62CEC">
        <w:t>5</w:t>
      </w:r>
      <w:r w:rsidR="0074765E">
        <w:t> %)</w:t>
      </w:r>
      <w:r w:rsidR="000E2D12">
        <w:t xml:space="preserve"> étaient concernées par des déficiences visuelles</w:t>
      </w:r>
      <w:r w:rsidR="000E2D12" w:rsidRPr="64E34295">
        <w:rPr>
          <w:rFonts w:ascii="Arial" w:hAnsi="Arial" w:cs="Arial"/>
        </w:rPr>
        <w:t> </w:t>
      </w:r>
      <w:r w:rsidR="000E2D12">
        <w:t>;</w:t>
      </w:r>
    </w:p>
    <w:p w14:paraId="1FC5A5A1" w14:textId="1E5A6475" w:rsidR="000E2D12" w:rsidRDefault="00941B96" w:rsidP="000E2D12">
      <w:pPr>
        <w:pStyle w:val="Paragraphedeliste"/>
        <w:numPr>
          <w:ilvl w:val="0"/>
          <w:numId w:val="25"/>
        </w:numPr>
      </w:pPr>
      <w:r>
        <w:t>36 personnes</w:t>
      </w:r>
      <w:r w:rsidR="00F240D5">
        <w:t xml:space="preserve"> (</w:t>
      </w:r>
      <w:r w:rsidR="00815F9B">
        <w:t>16</w:t>
      </w:r>
      <w:r w:rsidR="00F240D5">
        <w:t>,</w:t>
      </w:r>
      <w:r w:rsidR="00815F9B">
        <w:t>8</w:t>
      </w:r>
      <w:r w:rsidR="00F240D5">
        <w:t> %)</w:t>
      </w:r>
      <w:r w:rsidR="000E2D12">
        <w:t xml:space="preserve"> ont signalé des difficultés liées à la communication</w:t>
      </w:r>
      <w:r w:rsidR="000E2D12" w:rsidRPr="64E34295">
        <w:rPr>
          <w:rFonts w:ascii="Arial" w:hAnsi="Arial" w:cs="Arial"/>
        </w:rPr>
        <w:t> </w:t>
      </w:r>
      <w:r w:rsidR="000E2D12">
        <w:t>;</w:t>
      </w:r>
    </w:p>
    <w:p w14:paraId="7C6FD6B8" w14:textId="6F8BEF79" w:rsidR="000E2D12" w:rsidRDefault="000E2D12" w:rsidP="000E2D12">
      <w:pPr>
        <w:pStyle w:val="Paragraphedeliste"/>
        <w:numPr>
          <w:ilvl w:val="0"/>
          <w:numId w:val="25"/>
        </w:numPr>
      </w:pPr>
      <w:r>
        <w:t>33</w:t>
      </w:r>
      <w:r w:rsidR="00385556">
        <w:t xml:space="preserve"> personnes</w:t>
      </w:r>
      <w:r w:rsidR="004A671F">
        <w:t xml:space="preserve"> (</w:t>
      </w:r>
      <w:r w:rsidR="007F3F16">
        <w:t>15,4</w:t>
      </w:r>
      <w:r w:rsidR="004A671F">
        <w:t> %)</w:t>
      </w:r>
      <w:r w:rsidR="00385556">
        <w:t xml:space="preserve"> ont</w:t>
      </w:r>
      <w:r>
        <w:t xml:space="preserve"> décrit des déficiences liées à la préhension et la manipulation</w:t>
      </w:r>
      <w:r w:rsidRPr="64E34295">
        <w:rPr>
          <w:rFonts w:ascii="Arial" w:hAnsi="Arial" w:cs="Arial"/>
        </w:rPr>
        <w:t> </w:t>
      </w:r>
      <w:r>
        <w:t>;</w:t>
      </w:r>
    </w:p>
    <w:p w14:paraId="698D4AC0" w14:textId="578B2132" w:rsidR="000E2D12" w:rsidRDefault="000E2D12" w:rsidP="000E2D12">
      <w:pPr>
        <w:pStyle w:val="Paragraphedeliste"/>
        <w:numPr>
          <w:ilvl w:val="0"/>
          <w:numId w:val="25"/>
        </w:numPr>
      </w:pPr>
      <w:r>
        <w:t>24</w:t>
      </w:r>
      <w:r w:rsidR="00B90104">
        <w:t xml:space="preserve"> personnes</w:t>
      </w:r>
      <w:r w:rsidR="00250253">
        <w:t xml:space="preserve"> (</w:t>
      </w:r>
      <w:r w:rsidR="00D07799">
        <w:t>11</w:t>
      </w:r>
      <w:r w:rsidR="00250253">
        <w:t>,</w:t>
      </w:r>
      <w:r w:rsidR="00D07799">
        <w:t>2</w:t>
      </w:r>
      <w:r w:rsidR="00250253">
        <w:t> %)</w:t>
      </w:r>
      <w:r w:rsidR="00B90104">
        <w:t xml:space="preserve"> </w:t>
      </w:r>
      <w:r>
        <w:t>ont évoqué des handicaps auditifs</w:t>
      </w:r>
      <w:r w:rsidRPr="64E34295">
        <w:rPr>
          <w:rFonts w:ascii="Arial" w:hAnsi="Arial" w:cs="Arial"/>
        </w:rPr>
        <w:t> </w:t>
      </w:r>
      <w:r>
        <w:t>;</w:t>
      </w:r>
    </w:p>
    <w:p w14:paraId="6C7995F8" w14:textId="5B82ECBC" w:rsidR="000E2D12" w:rsidRDefault="000E2D12" w:rsidP="000E2D12">
      <w:pPr>
        <w:pStyle w:val="Paragraphedeliste"/>
        <w:numPr>
          <w:ilvl w:val="0"/>
          <w:numId w:val="25"/>
        </w:numPr>
      </w:pPr>
      <w:r>
        <w:t>22</w:t>
      </w:r>
      <w:r w:rsidR="00047E4D">
        <w:t xml:space="preserve"> personnes (</w:t>
      </w:r>
      <w:r w:rsidR="000F1391">
        <w:t>10</w:t>
      </w:r>
      <w:r w:rsidR="00047E4D">
        <w:t>,</w:t>
      </w:r>
      <w:r w:rsidR="000F1391">
        <w:t>3</w:t>
      </w:r>
      <w:r w:rsidR="00047E4D">
        <w:t xml:space="preserve"> %) </w:t>
      </w:r>
      <w:r>
        <w:t>ont déclaré être concernées par des handicaps touchant à la réflexion.</w:t>
      </w:r>
    </w:p>
    <w:p w14:paraId="036149D9" w14:textId="77777777" w:rsidR="000E2D12" w:rsidRDefault="000E2D12" w:rsidP="00C22A3B">
      <w:r>
        <w:t>Cette diversité de handicaps permet de recueillir une variété de perspectives sur le vocabulaire utilisé. L’importance d’une telle pluralité réside dans le fait que les personnes concernées par différents types de handicaps peuvent avoir des perceptions et des sensibilités différentes par rapport au langage qui les décrit.</w:t>
      </w:r>
    </w:p>
    <w:p w14:paraId="465AB271" w14:textId="77777777" w:rsidR="000E2D12" w:rsidRPr="004E2A37" w:rsidRDefault="000E2D12" w:rsidP="000E2D12">
      <w:pPr>
        <w:pStyle w:val="Titre4"/>
      </w:pPr>
      <w:r>
        <w:lastRenderedPageBreak/>
        <w:t>Relation des NPSH avec le handicap</w:t>
      </w:r>
    </w:p>
    <w:p w14:paraId="207C8420" w14:textId="77777777" w:rsidR="000E2D12" w:rsidRDefault="000E2D12" w:rsidP="005947AD">
      <w:r>
        <w:t>Du côté des 193 NPSH ayant participé à l’enquête, 9 personnes sur 10 ont déclaré avoir une ou plusieurs personnes «</w:t>
      </w:r>
      <w:r w:rsidRPr="64E34295">
        <w:rPr>
          <w:rFonts w:ascii="Arial" w:hAnsi="Arial" w:cs="Arial"/>
        </w:rPr>
        <w:t> </w:t>
      </w:r>
      <w:r>
        <w:t>avec handicap</w:t>
      </w:r>
      <w:r w:rsidRPr="64E34295">
        <w:rPr>
          <w:rFonts w:ascii="Arial" w:hAnsi="Arial" w:cs="Arial"/>
        </w:rPr>
        <w:t> </w:t>
      </w:r>
      <w:r>
        <w:t>» dans leur entourage. Pour 67,4 % d’entre eux, ces personnes font partie de leur entourage proche, que ce soit dans la sphère familiale, amicale ou professionnelle.</w:t>
      </w:r>
    </w:p>
    <w:p w14:paraId="63E588C1" w14:textId="77777777" w:rsidR="000E2D12" w:rsidRDefault="000E2D12" w:rsidP="005947AD">
      <w:r>
        <w:rPr>
          <w:b/>
          <w:bCs/>
        </w:rPr>
        <w:t>À</w:t>
      </w:r>
      <w:r w:rsidRPr="009A296B">
        <w:rPr>
          <w:b/>
          <w:bCs/>
        </w:rPr>
        <w:t xml:space="preserve"> l’instar des PSH</w:t>
      </w:r>
      <w:r>
        <w:rPr>
          <w:b/>
          <w:bCs/>
        </w:rPr>
        <w:t>, l</w:t>
      </w:r>
      <w:r w:rsidRPr="00EF2946">
        <w:rPr>
          <w:b/>
          <w:bCs/>
        </w:rPr>
        <w:t>es capacités impactées par leur handicap sont toutes représentées (vue, audition, déplacement, communication, réflexion).</w:t>
      </w:r>
      <w:r>
        <w:t xml:space="preserve"> On peut noter ici que la plupart des personnes sondées ont un rapport étroit au handicap, et semble donc avoir une sensibilité sur le sujet.</w:t>
      </w:r>
    </w:p>
    <w:p w14:paraId="77BC38BD" w14:textId="77777777" w:rsidR="000E2D12" w:rsidRPr="006322F2" w:rsidRDefault="000E2D12" w:rsidP="008810D6">
      <w:r>
        <w:t>À ce titre, cet échantillon de répondantes et répondants NPSH ne nous semble pas vraiment représentatif de la société dans son ensemble.</w:t>
      </w:r>
    </w:p>
    <w:p w14:paraId="0AD9A8B1" w14:textId="77777777" w:rsidR="000E2D12" w:rsidRDefault="000E2D12" w:rsidP="000E2D12">
      <w:pPr>
        <w:pStyle w:val="Titre3"/>
      </w:pPr>
      <w:bookmarkStart w:id="26" w:name="_Toc179298938"/>
      <w:bookmarkStart w:id="27" w:name="_Toc184898490"/>
      <w:r>
        <w:t>Résultats et analyse</w:t>
      </w:r>
      <w:bookmarkEnd w:id="26"/>
      <w:bookmarkEnd w:id="27"/>
    </w:p>
    <w:p w14:paraId="5B2955DB" w14:textId="5723CAA5" w:rsidR="000E2D12" w:rsidRDefault="000E2D12" w:rsidP="000E2D12">
      <w:pPr>
        <w:rPr>
          <w:lang w:eastAsia="ja-JP"/>
        </w:rPr>
      </w:pPr>
      <w:r w:rsidRPr="64E34295">
        <w:rPr>
          <w:lang w:eastAsia="ja-JP"/>
        </w:rPr>
        <w:t>L’</w:t>
      </w:r>
      <w:r w:rsidR="00DF746B">
        <w:rPr>
          <w:lang w:eastAsia="ja-JP"/>
        </w:rPr>
        <w:t xml:space="preserve">étude </w:t>
      </w:r>
      <w:r w:rsidRPr="64E34295">
        <w:rPr>
          <w:lang w:eastAsia="ja-JP"/>
        </w:rPr>
        <w:t>menée par Access42 a permis de recueillir des opinions variées sur les termes appropriés et inappropriés pour désigner les personnes «</w:t>
      </w:r>
      <w:r w:rsidRPr="64E34295">
        <w:rPr>
          <w:rFonts w:ascii="Arial" w:hAnsi="Arial" w:cs="Arial"/>
          <w:lang w:eastAsia="ja-JP"/>
        </w:rPr>
        <w:t> </w:t>
      </w:r>
      <w:r w:rsidRPr="64E34295">
        <w:rPr>
          <w:lang w:eastAsia="ja-JP"/>
        </w:rPr>
        <w:t>avec handicap</w:t>
      </w:r>
      <w:r w:rsidRPr="64E34295">
        <w:rPr>
          <w:rFonts w:ascii="Arial" w:hAnsi="Arial" w:cs="Arial"/>
          <w:lang w:eastAsia="ja-JP"/>
        </w:rPr>
        <w:t> </w:t>
      </w:r>
      <w:r w:rsidRPr="64E34295">
        <w:rPr>
          <w:lang w:eastAsia="ja-JP"/>
        </w:rPr>
        <w:t>»</w:t>
      </w:r>
      <w:r>
        <w:rPr>
          <w:lang w:eastAsia="ja-JP"/>
        </w:rPr>
        <w:t xml:space="preserve"> (PSH)</w:t>
      </w:r>
      <w:r w:rsidRPr="64E34295">
        <w:rPr>
          <w:lang w:eastAsia="ja-JP"/>
        </w:rPr>
        <w:t>, et aussi les personnes «</w:t>
      </w:r>
      <w:r w:rsidRPr="64E34295">
        <w:rPr>
          <w:rFonts w:ascii="Arial" w:hAnsi="Arial" w:cs="Arial"/>
          <w:lang w:eastAsia="ja-JP"/>
        </w:rPr>
        <w:t> </w:t>
      </w:r>
      <w:r w:rsidRPr="64E34295">
        <w:rPr>
          <w:lang w:eastAsia="ja-JP"/>
        </w:rPr>
        <w:t>sans handicap</w:t>
      </w:r>
      <w:r w:rsidRPr="64E34295">
        <w:rPr>
          <w:rFonts w:ascii="Arial" w:hAnsi="Arial" w:cs="Arial"/>
          <w:lang w:eastAsia="ja-JP"/>
        </w:rPr>
        <w:t> </w:t>
      </w:r>
      <w:r w:rsidRPr="64E34295">
        <w:rPr>
          <w:lang w:eastAsia="ja-JP"/>
        </w:rPr>
        <w:t>»</w:t>
      </w:r>
      <w:r>
        <w:rPr>
          <w:lang w:eastAsia="ja-JP"/>
        </w:rPr>
        <w:t xml:space="preserve"> (NPSH)</w:t>
      </w:r>
      <w:r w:rsidRPr="64E34295">
        <w:rPr>
          <w:lang w:eastAsia="ja-JP"/>
        </w:rPr>
        <w:t>.</w:t>
      </w:r>
    </w:p>
    <w:p w14:paraId="284F80AB" w14:textId="6A6ADDDA" w:rsidR="0075472F" w:rsidRDefault="000E2D12" w:rsidP="000E2D12">
      <w:pPr>
        <w:rPr>
          <w:lang w:eastAsia="ja-JP"/>
        </w:rPr>
      </w:pPr>
      <w:r w:rsidRPr="0075472F">
        <w:rPr>
          <w:b/>
          <w:bCs/>
          <w:lang w:eastAsia="ja-JP"/>
        </w:rPr>
        <w:t>Les résultats montrent qu’il n’y a pas de consensus absolu sur le ou les termes à utiliser</w:t>
      </w:r>
      <w:r w:rsidRPr="5C8A3C8F">
        <w:rPr>
          <w:lang w:eastAsia="ja-JP"/>
        </w:rPr>
        <w:t> ; toutefois, plusieurs tendances émergent quant aux expressions préférées ou rejetées.</w:t>
      </w:r>
    </w:p>
    <w:p w14:paraId="46F8F7D1" w14:textId="77777777" w:rsidR="000E2D12" w:rsidRDefault="000E2D12" w:rsidP="000E2D12">
      <w:pPr>
        <w:pStyle w:val="Titre4"/>
      </w:pPr>
      <w:r>
        <w:t>Importance du choix des mots</w:t>
      </w:r>
    </w:p>
    <w:p w14:paraId="162C092A" w14:textId="77777777" w:rsidR="000E2D12" w:rsidRDefault="000E2D12" w:rsidP="002B28B6">
      <w:pPr>
        <w:rPr>
          <w:lang w:eastAsia="ja-JP"/>
        </w:rPr>
      </w:pPr>
      <w:r w:rsidRPr="64E34295">
        <w:rPr>
          <w:lang w:eastAsia="ja-JP"/>
        </w:rPr>
        <w:t>La grande majorité des personnes répondantes, PSH et NPSH confondues, estime que le choix des mots pour nommer les personnes «</w:t>
      </w:r>
      <w:r w:rsidRPr="64E34295">
        <w:rPr>
          <w:rFonts w:ascii="Arial" w:hAnsi="Arial" w:cs="Arial"/>
          <w:lang w:eastAsia="ja-JP"/>
        </w:rPr>
        <w:t> </w:t>
      </w:r>
      <w:r w:rsidRPr="64E34295">
        <w:rPr>
          <w:lang w:eastAsia="ja-JP"/>
        </w:rPr>
        <w:t>avec handicap</w:t>
      </w:r>
      <w:r w:rsidRPr="64E34295">
        <w:rPr>
          <w:rFonts w:ascii="Arial" w:hAnsi="Arial" w:cs="Arial"/>
          <w:lang w:eastAsia="ja-JP"/>
        </w:rPr>
        <w:t> </w:t>
      </w:r>
      <w:r w:rsidRPr="64E34295">
        <w:rPr>
          <w:lang w:eastAsia="ja-JP"/>
        </w:rPr>
        <w:t>» est important (47,6 %) voire très important (34,8 %).</w:t>
      </w:r>
    </w:p>
    <w:p w14:paraId="32684E13" w14:textId="77777777" w:rsidR="000E2D12" w:rsidRDefault="000E2D12" w:rsidP="000E2D12">
      <w:pPr>
        <w:rPr>
          <w:lang w:eastAsia="ja-JP"/>
        </w:rPr>
      </w:pPr>
      <w:r>
        <w:rPr>
          <w:lang w:eastAsia="ja-JP"/>
        </w:rPr>
        <w:t>L’</w:t>
      </w:r>
      <w:r w:rsidRPr="64E34295">
        <w:rPr>
          <w:lang w:eastAsia="ja-JP"/>
        </w:rPr>
        <w:t xml:space="preserve">analyse </w:t>
      </w:r>
      <w:r>
        <w:rPr>
          <w:lang w:eastAsia="ja-JP"/>
        </w:rPr>
        <w:t>d</w:t>
      </w:r>
      <w:r w:rsidRPr="64E34295">
        <w:rPr>
          <w:lang w:eastAsia="ja-JP"/>
        </w:rPr>
        <w:t>es réponses à la question «</w:t>
      </w:r>
      <w:r w:rsidRPr="64E34295">
        <w:rPr>
          <w:rFonts w:ascii="Arial" w:hAnsi="Arial" w:cs="Arial"/>
          <w:lang w:eastAsia="ja-JP"/>
        </w:rPr>
        <w:t> </w:t>
      </w:r>
      <w:r w:rsidRPr="64E34295">
        <w:rPr>
          <w:lang w:eastAsia="ja-JP"/>
        </w:rPr>
        <w:t>Pourquoi le choix des mots est-il important pour vous</w:t>
      </w:r>
      <w:r w:rsidRPr="64E34295">
        <w:rPr>
          <w:rFonts w:ascii="Arial" w:hAnsi="Arial" w:cs="Arial"/>
          <w:lang w:eastAsia="ja-JP"/>
        </w:rPr>
        <w:t> </w:t>
      </w:r>
      <w:r w:rsidRPr="64E34295">
        <w:rPr>
          <w:lang w:eastAsia="ja-JP"/>
        </w:rPr>
        <w:t>?</w:t>
      </w:r>
      <w:r w:rsidRPr="64E34295">
        <w:rPr>
          <w:rFonts w:ascii="Arial" w:hAnsi="Arial" w:cs="Arial"/>
          <w:lang w:eastAsia="ja-JP"/>
        </w:rPr>
        <w:t> </w:t>
      </w:r>
      <w:r w:rsidRPr="64E34295">
        <w:rPr>
          <w:lang w:eastAsia="ja-JP"/>
        </w:rPr>
        <w:t>»</w:t>
      </w:r>
      <w:r>
        <w:rPr>
          <w:lang w:eastAsia="ja-JP"/>
        </w:rPr>
        <w:t xml:space="preserve"> démontre </w:t>
      </w:r>
      <w:r w:rsidRPr="64E34295">
        <w:rPr>
          <w:lang w:eastAsia="ja-JP"/>
        </w:rPr>
        <w:t xml:space="preserve">4 thèmes principaux chez les </w:t>
      </w:r>
      <w:r>
        <w:rPr>
          <w:lang w:eastAsia="ja-JP"/>
        </w:rPr>
        <w:t xml:space="preserve">personnes </w:t>
      </w:r>
      <w:r w:rsidRPr="64E34295">
        <w:rPr>
          <w:lang w:eastAsia="ja-JP"/>
        </w:rPr>
        <w:t>PSH</w:t>
      </w:r>
      <w:r>
        <w:rPr>
          <w:lang w:eastAsia="ja-JP"/>
        </w:rPr>
        <w:t xml:space="preserve"> ayant répondu à l’enquête</w:t>
      </w:r>
      <w:r w:rsidRPr="64E34295">
        <w:rPr>
          <w:lang w:eastAsia="ja-JP"/>
        </w:rPr>
        <w:t> :</w:t>
      </w:r>
    </w:p>
    <w:p w14:paraId="6688031F" w14:textId="77777777" w:rsidR="000E2D12" w:rsidRDefault="000E2D12" w:rsidP="000E2D12">
      <w:pPr>
        <w:pStyle w:val="Paragraphedeliste"/>
      </w:pPr>
      <w:r>
        <w:t xml:space="preserve">les </w:t>
      </w:r>
      <w:r w:rsidRPr="00EF2946">
        <w:rPr>
          <w:b/>
          <w:bCs/>
        </w:rPr>
        <w:t>mots façonnent la pensée</w:t>
      </w:r>
      <w:r w:rsidRPr="00EF2946">
        <w:rPr>
          <w:rFonts w:ascii="Arial" w:hAnsi="Arial" w:cs="Arial"/>
          <w:b/>
          <w:bCs/>
        </w:rPr>
        <w:t> </w:t>
      </w:r>
      <w:r>
        <w:t>;</w:t>
      </w:r>
    </w:p>
    <w:p w14:paraId="0AEC9C66" w14:textId="77777777" w:rsidR="000E2D12" w:rsidRDefault="000E2D12" w:rsidP="000E2D12">
      <w:pPr>
        <w:pStyle w:val="Paragraphedeliste"/>
      </w:pPr>
      <w:r>
        <w:t xml:space="preserve">l’utilisation des mots spécifiques permet de </w:t>
      </w:r>
      <w:r w:rsidRPr="00EF2946">
        <w:rPr>
          <w:b/>
          <w:bCs/>
        </w:rPr>
        <w:t xml:space="preserve">traduire un certain respect </w:t>
      </w:r>
      <w:r>
        <w:t>de la personne</w:t>
      </w:r>
      <w:r w:rsidRPr="64E34295">
        <w:rPr>
          <w:rFonts w:ascii="Arial" w:hAnsi="Arial" w:cs="Arial"/>
        </w:rPr>
        <w:t> </w:t>
      </w:r>
      <w:r>
        <w:t>;</w:t>
      </w:r>
    </w:p>
    <w:p w14:paraId="3238AA41" w14:textId="77777777" w:rsidR="000E2D12" w:rsidRDefault="000E2D12" w:rsidP="000E2D12">
      <w:pPr>
        <w:pStyle w:val="Paragraphedeliste"/>
      </w:pPr>
      <w:r w:rsidRPr="00EF2946">
        <w:rPr>
          <w:b/>
          <w:bCs/>
        </w:rPr>
        <w:t xml:space="preserve">nommer </w:t>
      </w:r>
      <w:r>
        <w:t xml:space="preserve">des éléments de </w:t>
      </w:r>
      <w:r w:rsidRPr="00EF2946">
        <w:rPr>
          <w:b/>
          <w:bCs/>
        </w:rPr>
        <w:t xml:space="preserve">manière adéquate </w:t>
      </w:r>
      <w:r>
        <w:t>permet de leur donner du sens, de traduire une existence</w:t>
      </w:r>
      <w:r w:rsidRPr="64E34295">
        <w:rPr>
          <w:rFonts w:ascii="Arial" w:hAnsi="Arial" w:cs="Arial"/>
        </w:rPr>
        <w:t> </w:t>
      </w:r>
      <w:r>
        <w:t>;</w:t>
      </w:r>
    </w:p>
    <w:p w14:paraId="42E8581B" w14:textId="77777777" w:rsidR="000E2D12" w:rsidRDefault="000E2D12" w:rsidP="000E2D12">
      <w:pPr>
        <w:pStyle w:val="Paragraphedeliste"/>
      </w:pPr>
      <w:r>
        <w:t xml:space="preserve">le choix des mots doit être </w:t>
      </w:r>
      <w:r w:rsidRPr="00EF2946">
        <w:rPr>
          <w:b/>
          <w:bCs/>
        </w:rPr>
        <w:t>adapté</w:t>
      </w:r>
      <w:r>
        <w:t>, c’est-à-dire précis, et spécifiquement pertinent pour évoquer l’élément en question.</w:t>
      </w:r>
    </w:p>
    <w:p w14:paraId="6688CB23" w14:textId="77777777" w:rsidR="000E2D12" w:rsidRDefault="000E2D12" w:rsidP="000E2D12">
      <w:r>
        <w:t>Les NPSH expriment des raisons différentes dans l’importance du choix pour nommer les personnes «</w:t>
      </w:r>
      <w:r w:rsidRPr="64E34295">
        <w:rPr>
          <w:rFonts w:ascii="Arial" w:hAnsi="Arial" w:cs="Arial"/>
        </w:rPr>
        <w:t> </w:t>
      </w:r>
      <w:r>
        <w:t>avec handicap</w:t>
      </w:r>
      <w:r w:rsidRPr="64E34295">
        <w:rPr>
          <w:rFonts w:ascii="Arial" w:hAnsi="Arial" w:cs="Arial"/>
        </w:rPr>
        <w:t> </w:t>
      </w:r>
      <w:r>
        <w:t>» :</w:t>
      </w:r>
    </w:p>
    <w:p w14:paraId="28E5FAEC" w14:textId="77777777" w:rsidR="000E2D12" w:rsidRDefault="000E2D12" w:rsidP="000E2D12">
      <w:pPr>
        <w:pStyle w:val="Paragraphedeliste"/>
      </w:pPr>
      <w:r>
        <w:t xml:space="preserve">éviter l’usage de certaines expressions permet de </w:t>
      </w:r>
      <w:r w:rsidRPr="00EF2946">
        <w:rPr>
          <w:b/>
          <w:bCs/>
        </w:rPr>
        <w:t>ne pas blesser ou discriminer</w:t>
      </w:r>
      <w:r w:rsidRPr="64E34295">
        <w:rPr>
          <w:rFonts w:ascii="Arial" w:hAnsi="Arial" w:cs="Arial"/>
        </w:rPr>
        <w:t> </w:t>
      </w:r>
      <w:r>
        <w:t>;</w:t>
      </w:r>
    </w:p>
    <w:p w14:paraId="19D7F738" w14:textId="77777777" w:rsidR="000E2D12" w:rsidRDefault="000E2D12" w:rsidP="000E2D12">
      <w:pPr>
        <w:pStyle w:val="Paragraphedeliste"/>
      </w:pPr>
      <w:r>
        <w:t xml:space="preserve">l’enjeu de la </w:t>
      </w:r>
      <w:r w:rsidRPr="00EF2946">
        <w:rPr>
          <w:b/>
          <w:bCs/>
        </w:rPr>
        <w:t xml:space="preserve">représentation </w:t>
      </w:r>
      <w:r>
        <w:t xml:space="preserve">et la manière de l’être </w:t>
      </w:r>
      <w:r w:rsidRPr="00EF2946">
        <w:rPr>
          <w:b/>
          <w:bCs/>
        </w:rPr>
        <w:t>au sein de la société</w:t>
      </w:r>
      <w:r>
        <w:t>.</w:t>
      </w:r>
    </w:p>
    <w:p w14:paraId="3A84078C" w14:textId="3A4C4911" w:rsidR="001326C7" w:rsidRPr="001326C7" w:rsidRDefault="00C31748" w:rsidP="001326C7">
      <w:pPr>
        <w:pStyle w:val="Titre5"/>
      </w:pPr>
      <w:r>
        <w:lastRenderedPageBreak/>
        <w:t>R</w:t>
      </w:r>
      <w:r w:rsidR="001326C7" w:rsidRPr="001326C7">
        <w:t>éponses à la question « Le choix des mots pour nommer les personnes “avec handicap” est-il important pour vous ? »</w:t>
      </w:r>
    </w:p>
    <w:p w14:paraId="5E134C73" w14:textId="77777777" w:rsidR="001326C7" w:rsidRDefault="001326C7" w:rsidP="00B130D1">
      <w:pPr>
        <w:jc w:val="center"/>
      </w:pPr>
      <w:r w:rsidRPr="00626422">
        <w:rPr>
          <w:noProof/>
        </w:rPr>
        <w:drawing>
          <wp:inline distT="0" distB="0" distL="0" distR="0" wp14:anchorId="3D336368" wp14:editId="5D5FC7E1">
            <wp:extent cx="4098114" cy="2427859"/>
            <wp:effectExtent l="0" t="0" r="4445" b="0"/>
            <wp:docPr id="955494680" name="Imag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494680" name="Image 1">
                      <a:extLst>
                        <a:ext uri="{C183D7F6-B498-43B3-948B-1728B52AA6E4}">
                          <adec:decorative xmlns:adec="http://schemas.microsoft.com/office/drawing/2017/decorative" val="1"/>
                        </a:ext>
                      </a:extLst>
                    </pic:cNvPr>
                    <pic:cNvPicPr/>
                  </pic:nvPicPr>
                  <pic:blipFill>
                    <a:blip r:embed="rId13"/>
                    <a:stretch>
                      <a:fillRect/>
                    </a:stretch>
                  </pic:blipFill>
                  <pic:spPr>
                    <a:xfrm>
                      <a:off x="0" y="0"/>
                      <a:ext cx="4108523" cy="2434026"/>
                    </a:xfrm>
                    <a:prstGeom prst="rect">
                      <a:avLst/>
                    </a:prstGeom>
                  </pic:spPr>
                </pic:pic>
              </a:graphicData>
            </a:graphic>
          </wp:inline>
        </w:drawing>
      </w:r>
    </w:p>
    <w:p w14:paraId="2A52B7C8" w14:textId="77777777" w:rsidR="00FD4538" w:rsidRDefault="001326C7" w:rsidP="00FD4538">
      <w:pPr>
        <w:pStyle w:val="Paragraphedeliste"/>
        <w:numPr>
          <w:ilvl w:val="0"/>
          <w:numId w:val="42"/>
        </w:numPr>
      </w:pPr>
      <w:r w:rsidRPr="007C299E">
        <w:t>Nombre de réponses pour « Pas important/ Pas du tout important »</w:t>
      </w:r>
      <w:r>
        <w:t> </w:t>
      </w:r>
      <w:r w:rsidRPr="007C299E">
        <w:t>: 10.</w:t>
      </w:r>
    </w:p>
    <w:p w14:paraId="2929F8EA" w14:textId="77777777" w:rsidR="00FD4538" w:rsidRDefault="001326C7" w:rsidP="00FD4538">
      <w:pPr>
        <w:pStyle w:val="Paragraphedeliste"/>
        <w:numPr>
          <w:ilvl w:val="0"/>
          <w:numId w:val="42"/>
        </w:numPr>
      </w:pPr>
      <w:r w:rsidRPr="007C299E">
        <w:t>Nombre de réponses pour « Neutre »</w:t>
      </w:r>
      <w:r>
        <w:t> </w:t>
      </w:r>
      <w:r w:rsidRPr="007C299E">
        <w:t>: 45.</w:t>
      </w:r>
    </w:p>
    <w:p w14:paraId="6B6767CB" w14:textId="7CED9944" w:rsidR="001326C7" w:rsidRDefault="001326C7" w:rsidP="001326C7">
      <w:pPr>
        <w:pStyle w:val="Paragraphedeliste"/>
        <w:numPr>
          <w:ilvl w:val="0"/>
          <w:numId w:val="42"/>
        </w:numPr>
      </w:pPr>
      <w:r w:rsidRPr="007C299E">
        <w:t>Nombre de réponses pour « Très important/important »</w:t>
      </w:r>
      <w:r>
        <w:t> </w:t>
      </w:r>
      <w:r w:rsidRPr="007C299E">
        <w:t>: 258.</w:t>
      </w:r>
    </w:p>
    <w:p w14:paraId="0D33DDC3" w14:textId="77777777" w:rsidR="000E2D12" w:rsidRDefault="000E2D12" w:rsidP="000E2D12">
      <w:pPr>
        <w:pStyle w:val="Titre4"/>
      </w:pPr>
      <w:r>
        <w:t>Rôle du contexte</w:t>
      </w:r>
    </w:p>
    <w:p w14:paraId="1180274F" w14:textId="77777777" w:rsidR="000E2D12" w:rsidRDefault="000E2D12" w:rsidP="00B06A92">
      <w:pPr>
        <w:rPr>
          <w:lang w:eastAsia="ja-JP"/>
        </w:rPr>
      </w:pPr>
      <w:r w:rsidRPr="64E34295">
        <w:rPr>
          <w:lang w:eastAsia="ja-JP"/>
        </w:rPr>
        <w:t>Il semble que les personnes ayant répondu à l’étude aient été partagées sur le rôle du contexte quant à l’utilisation des mots utilisés pour nommer les personnes «</w:t>
      </w:r>
      <w:r w:rsidRPr="64E34295">
        <w:rPr>
          <w:rFonts w:ascii="Arial" w:hAnsi="Arial" w:cs="Arial"/>
          <w:lang w:eastAsia="ja-JP"/>
        </w:rPr>
        <w:t> </w:t>
      </w:r>
      <w:r w:rsidRPr="64E34295">
        <w:rPr>
          <w:lang w:eastAsia="ja-JP"/>
        </w:rPr>
        <w:t>avec handicap</w:t>
      </w:r>
      <w:r w:rsidRPr="64E34295">
        <w:rPr>
          <w:rFonts w:ascii="Arial" w:hAnsi="Arial" w:cs="Arial"/>
          <w:lang w:eastAsia="ja-JP"/>
        </w:rPr>
        <w:t> </w:t>
      </w:r>
      <w:r w:rsidRPr="64E34295">
        <w:rPr>
          <w:lang w:eastAsia="ja-JP"/>
        </w:rPr>
        <w:t>».</w:t>
      </w:r>
    </w:p>
    <w:p w14:paraId="7C70BE03" w14:textId="0B545899" w:rsidR="000E2D12" w:rsidRDefault="000E2D12" w:rsidP="00B06A92">
      <w:pPr>
        <w:rPr>
          <w:lang w:eastAsia="ja-JP"/>
        </w:rPr>
      </w:pPr>
      <w:r w:rsidRPr="64E34295">
        <w:rPr>
          <w:lang w:eastAsia="ja-JP"/>
        </w:rPr>
        <w:t xml:space="preserve">En effet, la moitié du panel affirme modifier son vocabulaire en fonction du contexte, l’autre moitié rester constant. Lorsque l’on compare les deux groupes de répondants, on observe que les PSH ont davantage tendance (54 %) à modifier le vocabulaire utilisé en fonction du contexte que les </w:t>
      </w:r>
      <w:r w:rsidR="00680AB6">
        <w:rPr>
          <w:lang w:eastAsia="ja-JP"/>
        </w:rPr>
        <w:t>NPSH</w:t>
      </w:r>
      <w:r w:rsidR="007270B1">
        <w:rPr>
          <w:lang w:eastAsia="ja-JP"/>
        </w:rPr>
        <w:t>.</w:t>
      </w:r>
    </w:p>
    <w:p w14:paraId="0C3681C3" w14:textId="77777777" w:rsidR="000E2D12" w:rsidRDefault="000E2D12" w:rsidP="00B06A92">
      <w:pPr>
        <w:rPr>
          <w:lang w:eastAsia="ja-JP"/>
        </w:rPr>
      </w:pPr>
      <w:r w:rsidRPr="64E34295">
        <w:rPr>
          <w:lang w:eastAsia="ja-JP"/>
        </w:rPr>
        <w:t>De plus, lorsque l’on demande aux répondantes et répondants les raisons qui les poussent à adapter leur vocabulaire au contexte, on observe chez les PSH :</w:t>
      </w:r>
    </w:p>
    <w:p w14:paraId="221CD54E" w14:textId="77777777" w:rsidR="000E2D12" w:rsidRDefault="000E2D12" w:rsidP="000E2D12">
      <w:pPr>
        <w:pStyle w:val="Paragraphedeliste"/>
      </w:pPr>
      <w:r>
        <w:t xml:space="preserve">le </w:t>
      </w:r>
      <w:r w:rsidRPr="00EF2946">
        <w:rPr>
          <w:b/>
          <w:bCs/>
        </w:rPr>
        <w:t>niveau de proximité</w:t>
      </w:r>
      <w:r>
        <w:t xml:space="preserve"> avec l’interlocuteur ou l’interlocutrice</w:t>
      </w:r>
      <w:r w:rsidRPr="64E34295">
        <w:rPr>
          <w:rFonts w:ascii="Arial" w:hAnsi="Arial" w:cs="Arial"/>
        </w:rPr>
        <w:t> </w:t>
      </w:r>
      <w:r>
        <w:t>;</w:t>
      </w:r>
    </w:p>
    <w:p w14:paraId="472FE568" w14:textId="77777777" w:rsidR="000E2D12" w:rsidRDefault="000E2D12" w:rsidP="000E2D12">
      <w:pPr>
        <w:pStyle w:val="Paragraphedeliste"/>
      </w:pPr>
      <w:r>
        <w:t xml:space="preserve">le </w:t>
      </w:r>
      <w:r w:rsidRPr="00EF2946">
        <w:rPr>
          <w:b/>
          <w:bCs/>
        </w:rPr>
        <w:t>respect des préférences</w:t>
      </w:r>
      <w:r>
        <w:t xml:space="preserve"> des personnes concernées</w:t>
      </w:r>
      <w:r w:rsidRPr="64E34295">
        <w:rPr>
          <w:rFonts w:ascii="Arial" w:hAnsi="Arial" w:cs="Arial"/>
        </w:rPr>
        <w:t> </w:t>
      </w:r>
      <w:r>
        <w:t>;</w:t>
      </w:r>
    </w:p>
    <w:p w14:paraId="138098FB" w14:textId="77777777" w:rsidR="000E2D12" w:rsidRDefault="000E2D12" w:rsidP="000E2D12">
      <w:pPr>
        <w:pStyle w:val="Paragraphedeliste"/>
      </w:pPr>
      <w:r>
        <w:t>l’</w:t>
      </w:r>
      <w:r w:rsidRPr="00EF2946">
        <w:rPr>
          <w:b/>
          <w:bCs/>
        </w:rPr>
        <w:t>adaptation au public auquel on s’adresse</w:t>
      </w:r>
      <w:r>
        <w:t>, par exemple leur niveau de connaissance.</w:t>
      </w:r>
    </w:p>
    <w:p w14:paraId="477992A0" w14:textId="77777777" w:rsidR="000E2D12" w:rsidRDefault="000E2D12" w:rsidP="000E2D12">
      <w:r>
        <w:t>Du côté des NPSH, les raisons exposées concernent :</w:t>
      </w:r>
    </w:p>
    <w:p w14:paraId="1DFADBDE" w14:textId="77777777" w:rsidR="000E2D12" w:rsidRDefault="000E2D12" w:rsidP="000E2D12">
      <w:pPr>
        <w:pStyle w:val="Paragraphedeliste"/>
      </w:pPr>
      <w:r>
        <w:t>le besoin d’utiliser un</w:t>
      </w:r>
      <w:r w:rsidRPr="00EF2946">
        <w:rPr>
          <w:b/>
          <w:bCs/>
        </w:rPr>
        <w:t xml:space="preserve"> terme spécifique en fonction du handicap </w:t>
      </w:r>
      <w:r>
        <w:t>de la personne</w:t>
      </w:r>
      <w:r w:rsidRPr="64E34295">
        <w:rPr>
          <w:rFonts w:ascii="Arial" w:hAnsi="Arial" w:cs="Arial"/>
        </w:rPr>
        <w:t> </w:t>
      </w:r>
      <w:r>
        <w:t>;</w:t>
      </w:r>
    </w:p>
    <w:p w14:paraId="3BD1A206" w14:textId="77777777" w:rsidR="000E2D12" w:rsidRDefault="000E2D12" w:rsidP="000E2D12">
      <w:pPr>
        <w:pStyle w:val="Paragraphedeliste"/>
      </w:pPr>
      <w:r w:rsidRPr="00EF2946">
        <w:rPr>
          <w:b/>
          <w:bCs/>
        </w:rPr>
        <w:t>l’environnement</w:t>
      </w:r>
      <w:r>
        <w:t>, qu’il soit familial, professionnel, militant</w:t>
      </w:r>
      <w:r w:rsidRPr="64E34295">
        <w:rPr>
          <w:rFonts w:ascii="Arial" w:hAnsi="Arial" w:cs="Arial"/>
        </w:rPr>
        <w:t> </w:t>
      </w:r>
      <w:r>
        <w:t>;</w:t>
      </w:r>
    </w:p>
    <w:p w14:paraId="744199DE" w14:textId="77777777" w:rsidR="000E2D12" w:rsidRDefault="000E2D12" w:rsidP="000E2D12">
      <w:pPr>
        <w:pStyle w:val="Paragraphedeliste"/>
      </w:pPr>
      <w:r>
        <w:t xml:space="preserve">le </w:t>
      </w:r>
      <w:r w:rsidRPr="00EF2946">
        <w:rPr>
          <w:b/>
          <w:bCs/>
        </w:rPr>
        <w:t>respect des préférences</w:t>
      </w:r>
      <w:r>
        <w:t xml:space="preserve"> des concernées, tout comme chez les PSH.</w:t>
      </w:r>
    </w:p>
    <w:p w14:paraId="7ADF2210" w14:textId="79578C6A" w:rsidR="00CE1984" w:rsidRPr="00CE1984" w:rsidRDefault="00717029" w:rsidP="00CE1984">
      <w:pPr>
        <w:pStyle w:val="Titre5"/>
      </w:pPr>
      <w:r>
        <w:lastRenderedPageBreak/>
        <w:t>R</w:t>
      </w:r>
      <w:r w:rsidR="00CE1984">
        <w:t>épartition des réponses à la question « Les mots que vous utilisez pour nommer les personnes “avec handicap” changent-ils en fonction du contexte</w:t>
      </w:r>
      <w:r w:rsidR="00CE1984" w:rsidRPr="009A259D">
        <w:t> </w:t>
      </w:r>
      <w:r w:rsidR="00CE1984">
        <w:t>? »</w:t>
      </w:r>
    </w:p>
    <w:p w14:paraId="1C34ABBC" w14:textId="515311CF" w:rsidR="00CE1984" w:rsidRDefault="00CE1984" w:rsidP="00441E9A">
      <w:pPr>
        <w:jc w:val="center"/>
      </w:pPr>
      <w:r w:rsidRPr="00C874CC">
        <w:rPr>
          <w:noProof/>
        </w:rPr>
        <w:drawing>
          <wp:inline distT="0" distB="0" distL="0" distR="0" wp14:anchorId="2A7CA3A7" wp14:editId="2DA88C52">
            <wp:extent cx="4451860" cy="3066117"/>
            <wp:effectExtent l="0" t="0" r="6350" b="0"/>
            <wp:docPr id="1498701944" name="Imag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701944" name="Image 1">
                      <a:extLst>
                        <a:ext uri="{C183D7F6-B498-43B3-948B-1728B52AA6E4}">
                          <adec:decorative xmlns:adec="http://schemas.microsoft.com/office/drawing/2017/decorative" val="1"/>
                        </a:ext>
                      </a:extLst>
                    </pic:cNvPr>
                    <pic:cNvPicPr/>
                  </pic:nvPicPr>
                  <pic:blipFill>
                    <a:blip r:embed="rId14"/>
                    <a:stretch>
                      <a:fillRect/>
                    </a:stretch>
                  </pic:blipFill>
                  <pic:spPr>
                    <a:xfrm>
                      <a:off x="0" y="0"/>
                      <a:ext cx="4477032" cy="3083454"/>
                    </a:xfrm>
                    <a:prstGeom prst="rect">
                      <a:avLst/>
                    </a:prstGeom>
                  </pic:spPr>
                </pic:pic>
              </a:graphicData>
            </a:graphic>
          </wp:inline>
        </w:drawing>
      </w:r>
    </w:p>
    <w:p w14:paraId="68F380DD" w14:textId="77777777" w:rsidR="00441E9A" w:rsidRDefault="00CE1984" w:rsidP="00441E9A">
      <w:pPr>
        <w:pStyle w:val="Paragraphedeliste"/>
        <w:numPr>
          <w:ilvl w:val="0"/>
          <w:numId w:val="43"/>
        </w:numPr>
      </w:pPr>
      <w:r>
        <w:t>Proportion de réponses pour la réponse « Oui » : 50 %.</w:t>
      </w:r>
    </w:p>
    <w:p w14:paraId="0A932216" w14:textId="7C0B75FF" w:rsidR="00CE1984" w:rsidRPr="008D4234" w:rsidRDefault="00CE1984" w:rsidP="00CE1984">
      <w:pPr>
        <w:pStyle w:val="Paragraphedeliste"/>
        <w:numPr>
          <w:ilvl w:val="0"/>
          <w:numId w:val="43"/>
        </w:numPr>
      </w:pPr>
      <w:r>
        <w:t>Proportion de réponses pour la réponse « Non : 50 %.</w:t>
      </w:r>
    </w:p>
    <w:p w14:paraId="13B8C3C0" w14:textId="77777777" w:rsidR="000E2D12" w:rsidRDefault="000E2D12" w:rsidP="000E2D12">
      <w:pPr>
        <w:pStyle w:val="Titre4"/>
      </w:pPr>
      <w:r>
        <w:t>Vocabulaire pour désigner les personnes « avec handicap » </w:t>
      </w:r>
    </w:p>
    <w:p w14:paraId="323A5805" w14:textId="77777777" w:rsidR="000E2D12" w:rsidRPr="001C0E7B" w:rsidRDefault="000E2D12" w:rsidP="000E2D12">
      <w:pPr>
        <w:pStyle w:val="Titre5"/>
      </w:pPr>
      <w:r>
        <w:t>Termes les plus plébiscités par les PSH, et comparaison avec les termes plébiscités par les NPSH </w:t>
      </w:r>
    </w:p>
    <w:p w14:paraId="034F854C" w14:textId="77777777" w:rsidR="000E2D12" w:rsidRDefault="000E2D12" w:rsidP="00010E94">
      <w:r w:rsidRPr="64E34295">
        <w:rPr>
          <w:lang w:eastAsia="ja-JP"/>
        </w:rPr>
        <w:t>L’analyse des réponses révèle que les termes les plus souvent plébiscités sont </w:t>
      </w:r>
      <w:r>
        <w:t>«</w:t>
      </w:r>
      <w:r w:rsidRPr="64E34295">
        <w:rPr>
          <w:rFonts w:ascii="Arial" w:hAnsi="Arial" w:cs="Arial"/>
        </w:rPr>
        <w:t> </w:t>
      </w:r>
      <w:r w:rsidRPr="00EF2946">
        <w:rPr>
          <w:b/>
          <w:bCs/>
        </w:rPr>
        <w:t>personne handicapée</w:t>
      </w:r>
      <w:r w:rsidRPr="00EF2946">
        <w:rPr>
          <w:rFonts w:ascii="Arial" w:hAnsi="Arial" w:cs="Arial"/>
          <w:b/>
          <w:bCs/>
        </w:rPr>
        <w:t> </w:t>
      </w:r>
      <w:r>
        <w:t>» et «</w:t>
      </w:r>
      <w:r w:rsidRPr="00EF2946">
        <w:rPr>
          <w:rFonts w:ascii="Arial" w:hAnsi="Arial" w:cs="Arial"/>
          <w:b/>
          <w:bCs/>
        </w:rPr>
        <w:t> </w:t>
      </w:r>
      <w:r w:rsidRPr="00EF2946">
        <w:rPr>
          <w:b/>
          <w:bCs/>
        </w:rPr>
        <w:t>personne en situation de handicap</w:t>
      </w:r>
      <w:r w:rsidRPr="00EF2946">
        <w:rPr>
          <w:rFonts w:ascii="Arial" w:hAnsi="Arial" w:cs="Arial"/>
          <w:b/>
          <w:bCs/>
        </w:rPr>
        <w:t> </w:t>
      </w:r>
      <w:r>
        <w:t>».</w:t>
      </w:r>
      <w:r w:rsidRPr="64E34295">
        <w:rPr>
          <w:lang w:eastAsia="ja-JP"/>
        </w:rPr>
        <w:t xml:space="preserve"> </w:t>
      </w:r>
      <w:r>
        <w:t>Cependant, aucun des deux ne fait consensus de manière absolue. En effet, certaines personnes des groupes PSH et NPSH les rejettent.</w:t>
      </w:r>
    </w:p>
    <w:p w14:paraId="4041CB83" w14:textId="3DFB4392" w:rsidR="00990518" w:rsidRPr="00990518" w:rsidRDefault="003678BD" w:rsidP="00990518">
      <w:pPr>
        <w:pStyle w:val="Titre6"/>
      </w:pPr>
      <w:r>
        <w:lastRenderedPageBreak/>
        <w:t>R</w:t>
      </w:r>
      <w:r w:rsidR="00990518" w:rsidRPr="00990518">
        <w:t>éponses du groupe PSH à la question «</w:t>
      </w:r>
      <w:r w:rsidR="00000E80">
        <w:t> </w:t>
      </w:r>
      <w:r w:rsidR="00990518" w:rsidRPr="00990518">
        <w:t>Quel(s) mot(s) préférez-vous utiliser pour parler des personnes “avec handicap” en général</w:t>
      </w:r>
      <w:r w:rsidR="00000E80">
        <w:t> </w:t>
      </w:r>
      <w:r w:rsidR="00990518" w:rsidRPr="00990518">
        <w:t>?</w:t>
      </w:r>
      <w:r w:rsidR="00000E80">
        <w:t> </w:t>
      </w:r>
      <w:r w:rsidR="00990518" w:rsidRPr="00990518">
        <w:t>»</w:t>
      </w:r>
    </w:p>
    <w:p w14:paraId="1CB9610B" w14:textId="39B5403F" w:rsidR="000E2D12" w:rsidRDefault="00EF6D63" w:rsidP="000E2D12">
      <w:pPr>
        <w:keepNext/>
        <w:ind w:firstLine="113"/>
        <w:jc w:val="center"/>
      </w:pPr>
      <w:r w:rsidRPr="00EF6D63">
        <w:rPr>
          <w:noProof/>
        </w:rPr>
        <w:drawing>
          <wp:inline distT="0" distB="0" distL="0" distR="0" wp14:anchorId="3D4687BA" wp14:editId="4FEB0F90">
            <wp:extent cx="3710996" cy="2277927"/>
            <wp:effectExtent l="0" t="0" r="0" b="0"/>
            <wp:docPr id="1324906780" name="Imag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906780" name="Image 1">
                      <a:extLst>
                        <a:ext uri="{C183D7F6-B498-43B3-948B-1728B52AA6E4}">
                          <adec:decorative xmlns:adec="http://schemas.microsoft.com/office/drawing/2017/decorative" val="1"/>
                        </a:ext>
                      </a:extLst>
                    </pic:cNvPr>
                    <pic:cNvPicPr/>
                  </pic:nvPicPr>
                  <pic:blipFill>
                    <a:blip r:embed="rId15"/>
                    <a:stretch>
                      <a:fillRect/>
                    </a:stretch>
                  </pic:blipFill>
                  <pic:spPr>
                    <a:xfrm>
                      <a:off x="0" y="0"/>
                      <a:ext cx="3784882" cy="2323281"/>
                    </a:xfrm>
                    <a:prstGeom prst="rect">
                      <a:avLst/>
                    </a:prstGeom>
                  </pic:spPr>
                </pic:pic>
              </a:graphicData>
            </a:graphic>
          </wp:inline>
        </w:drawing>
      </w:r>
    </w:p>
    <w:p w14:paraId="08AE0E93" w14:textId="77777777" w:rsidR="00990518" w:rsidRDefault="00990518" w:rsidP="00990518">
      <w:pPr>
        <w:pStyle w:val="Paragraphedeliste"/>
        <w:numPr>
          <w:ilvl w:val="0"/>
          <w:numId w:val="44"/>
        </w:numPr>
      </w:pPr>
      <w:r w:rsidRPr="00B223AD">
        <w:t>Réponses pour le terme « handicapé.e » : 41 « oui », 82 « non ».</w:t>
      </w:r>
    </w:p>
    <w:p w14:paraId="6EB9D6C0" w14:textId="77777777" w:rsidR="00990518" w:rsidRDefault="00990518" w:rsidP="00990518">
      <w:pPr>
        <w:pStyle w:val="Paragraphedeliste"/>
        <w:numPr>
          <w:ilvl w:val="0"/>
          <w:numId w:val="44"/>
        </w:numPr>
      </w:pPr>
      <w:r w:rsidRPr="00B223AD">
        <w:t>Réponses pour le terme « handi.e » : 35 « oui », 88 « non ».</w:t>
      </w:r>
    </w:p>
    <w:p w14:paraId="1D46CB3D" w14:textId="77777777" w:rsidR="00990518" w:rsidRDefault="00990518" w:rsidP="00990518">
      <w:pPr>
        <w:pStyle w:val="Paragraphedeliste"/>
        <w:numPr>
          <w:ilvl w:val="0"/>
          <w:numId w:val="44"/>
        </w:numPr>
      </w:pPr>
      <w:r w:rsidRPr="00B223AD">
        <w:t>Réponses pour le terme « personne handicapée » : 75 « oui », 53 « non ».</w:t>
      </w:r>
    </w:p>
    <w:p w14:paraId="6C2AB0D9" w14:textId="77777777" w:rsidR="00990518" w:rsidRDefault="00990518" w:rsidP="00990518">
      <w:pPr>
        <w:pStyle w:val="Paragraphedeliste"/>
        <w:numPr>
          <w:ilvl w:val="0"/>
          <w:numId w:val="44"/>
        </w:numPr>
      </w:pPr>
      <w:r w:rsidRPr="00B223AD">
        <w:t>Réponses pour le terme « personne en situation de handicap » : 49 « oui », 76 « non ».</w:t>
      </w:r>
    </w:p>
    <w:p w14:paraId="2D0363E5" w14:textId="77777777" w:rsidR="00990518" w:rsidRDefault="00990518" w:rsidP="00990518">
      <w:pPr>
        <w:pStyle w:val="Paragraphedeliste"/>
        <w:numPr>
          <w:ilvl w:val="0"/>
          <w:numId w:val="44"/>
        </w:numPr>
      </w:pPr>
      <w:r w:rsidRPr="00B223AD">
        <w:t>Réponses pour le terme « personne porteuse de handicap » : 16 « oui », 107 « non ».</w:t>
      </w:r>
    </w:p>
    <w:p w14:paraId="5C665AB8" w14:textId="7E340727" w:rsidR="00990518" w:rsidRPr="00990518" w:rsidRDefault="00990518" w:rsidP="00990518">
      <w:pPr>
        <w:pStyle w:val="Paragraphedeliste"/>
        <w:numPr>
          <w:ilvl w:val="0"/>
          <w:numId w:val="44"/>
        </w:numPr>
      </w:pPr>
      <w:r w:rsidRPr="00B223AD">
        <w:t>Réponses pour l’option « Autre » : 17 « oui ».</w:t>
      </w:r>
    </w:p>
    <w:p w14:paraId="3E0E55D4" w14:textId="20A436D2" w:rsidR="00990518" w:rsidRPr="00990518" w:rsidRDefault="00F233C9" w:rsidP="00990518">
      <w:pPr>
        <w:pStyle w:val="Titre6"/>
      </w:pPr>
      <w:r>
        <w:lastRenderedPageBreak/>
        <w:t>R</w:t>
      </w:r>
      <w:r w:rsidR="00B32689" w:rsidRPr="00B32689">
        <w:t>éponses du groupe NPSH à la question «</w:t>
      </w:r>
      <w:r w:rsidR="00B32689">
        <w:t> </w:t>
      </w:r>
      <w:r w:rsidR="00B32689" w:rsidRPr="00B32689">
        <w:t>Quel(s) mot(s) préférez-vous utiliser pour parler des personnes “avec handicap” en général</w:t>
      </w:r>
      <w:r w:rsidR="00B32689">
        <w:t> </w:t>
      </w:r>
      <w:r w:rsidR="00B32689" w:rsidRPr="00B32689">
        <w:t>?</w:t>
      </w:r>
      <w:r w:rsidR="00B32689">
        <w:t> </w:t>
      </w:r>
      <w:r w:rsidR="00B32689" w:rsidRPr="00B32689">
        <w:t>»</w:t>
      </w:r>
    </w:p>
    <w:p w14:paraId="5EAC7944" w14:textId="5DB32E91" w:rsidR="000E2D12" w:rsidRDefault="00AE3BAC" w:rsidP="00B32689">
      <w:pPr>
        <w:jc w:val="center"/>
      </w:pPr>
      <w:r w:rsidRPr="00AE3BAC">
        <w:rPr>
          <w:noProof/>
        </w:rPr>
        <w:drawing>
          <wp:inline distT="0" distB="0" distL="0" distR="0" wp14:anchorId="460E77E1" wp14:editId="5937E222">
            <wp:extent cx="3991323" cy="2372077"/>
            <wp:effectExtent l="0" t="0" r="0" b="3175"/>
            <wp:docPr id="1694449801" name="Imag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449801" name="Image 1">
                      <a:extLst>
                        <a:ext uri="{C183D7F6-B498-43B3-948B-1728B52AA6E4}">
                          <adec:decorative xmlns:adec="http://schemas.microsoft.com/office/drawing/2017/decorative" val="1"/>
                        </a:ext>
                      </a:extLst>
                    </pic:cNvPr>
                    <pic:cNvPicPr/>
                  </pic:nvPicPr>
                  <pic:blipFill>
                    <a:blip r:embed="rId16"/>
                    <a:stretch>
                      <a:fillRect/>
                    </a:stretch>
                  </pic:blipFill>
                  <pic:spPr>
                    <a:xfrm>
                      <a:off x="0" y="0"/>
                      <a:ext cx="4011953" cy="2384338"/>
                    </a:xfrm>
                    <a:prstGeom prst="rect">
                      <a:avLst/>
                    </a:prstGeom>
                  </pic:spPr>
                </pic:pic>
              </a:graphicData>
            </a:graphic>
          </wp:inline>
        </w:drawing>
      </w:r>
    </w:p>
    <w:p w14:paraId="55BE2B0E" w14:textId="6F7FF5E1" w:rsidR="00B32689" w:rsidRDefault="00B32689" w:rsidP="00B32689">
      <w:pPr>
        <w:pStyle w:val="Paragraphedeliste"/>
        <w:numPr>
          <w:ilvl w:val="0"/>
          <w:numId w:val="45"/>
        </w:numPr>
      </w:pPr>
      <w:r w:rsidRPr="00B32689">
        <w:t>Réponses pour le terme «</w:t>
      </w:r>
      <w:r w:rsidR="00062CD7">
        <w:t> </w:t>
      </w:r>
      <w:r w:rsidRPr="00B32689">
        <w:t>handicapé.e</w:t>
      </w:r>
      <w:r w:rsidR="00062CD7">
        <w:t> </w:t>
      </w:r>
      <w:r w:rsidRPr="00B32689">
        <w:t>»</w:t>
      </w:r>
      <w:r w:rsidR="00062CD7">
        <w:t> </w:t>
      </w:r>
      <w:r w:rsidRPr="00B32689">
        <w:t>: 33 «</w:t>
      </w:r>
      <w:r w:rsidR="00062CD7">
        <w:t> </w:t>
      </w:r>
      <w:r w:rsidRPr="00B32689">
        <w:t>oui</w:t>
      </w:r>
      <w:r w:rsidR="00062CD7">
        <w:t> </w:t>
      </w:r>
      <w:r w:rsidRPr="00B32689">
        <w:t>», 90 «</w:t>
      </w:r>
      <w:r w:rsidR="00062CD7">
        <w:t> </w:t>
      </w:r>
      <w:r w:rsidRPr="00B32689">
        <w:t>non</w:t>
      </w:r>
      <w:r w:rsidR="00062CD7">
        <w:t> </w:t>
      </w:r>
      <w:r w:rsidRPr="00B32689">
        <w:t>».</w:t>
      </w:r>
    </w:p>
    <w:p w14:paraId="6B7D1576" w14:textId="56BAD94F" w:rsidR="00B32689" w:rsidRDefault="00B32689" w:rsidP="00B32689">
      <w:pPr>
        <w:pStyle w:val="Paragraphedeliste"/>
        <w:numPr>
          <w:ilvl w:val="0"/>
          <w:numId w:val="45"/>
        </w:numPr>
      </w:pPr>
      <w:r w:rsidRPr="00B32689">
        <w:t>Réponses pour le terme «</w:t>
      </w:r>
      <w:r w:rsidR="00062CD7">
        <w:t> </w:t>
      </w:r>
      <w:r w:rsidRPr="00B32689">
        <w:t>handi.es</w:t>
      </w:r>
      <w:r w:rsidR="00062CD7">
        <w:t> </w:t>
      </w:r>
      <w:r w:rsidRPr="00B32689">
        <w:t>»</w:t>
      </w:r>
      <w:r w:rsidR="00062CD7">
        <w:t> </w:t>
      </w:r>
      <w:r w:rsidRPr="00B32689">
        <w:t>: 16 «</w:t>
      </w:r>
      <w:r w:rsidR="00062CD7">
        <w:t> </w:t>
      </w:r>
      <w:r w:rsidRPr="00B32689">
        <w:t>oui</w:t>
      </w:r>
      <w:r w:rsidR="00062CD7">
        <w:t> </w:t>
      </w:r>
      <w:r w:rsidRPr="00B32689">
        <w:t>», 107 «</w:t>
      </w:r>
      <w:r w:rsidR="00062CD7">
        <w:t> </w:t>
      </w:r>
      <w:r w:rsidRPr="00B32689">
        <w:t>non</w:t>
      </w:r>
      <w:r w:rsidR="00062CD7">
        <w:t> </w:t>
      </w:r>
      <w:r w:rsidRPr="00B32689">
        <w:t>».</w:t>
      </w:r>
    </w:p>
    <w:p w14:paraId="2C68EFA8" w14:textId="443A3F2E" w:rsidR="00B32689" w:rsidRDefault="00B32689" w:rsidP="00B32689">
      <w:pPr>
        <w:pStyle w:val="Paragraphedeliste"/>
        <w:numPr>
          <w:ilvl w:val="0"/>
          <w:numId w:val="45"/>
        </w:numPr>
      </w:pPr>
      <w:r w:rsidRPr="00B32689">
        <w:t>Réponses pour le terme «</w:t>
      </w:r>
      <w:r w:rsidR="00062CD7">
        <w:t> </w:t>
      </w:r>
      <w:r w:rsidRPr="00B32689">
        <w:t>personne handicapée</w:t>
      </w:r>
      <w:r w:rsidR="00062CD7">
        <w:t> </w:t>
      </w:r>
      <w:r w:rsidRPr="00B32689">
        <w:t>»</w:t>
      </w:r>
      <w:r w:rsidR="00062CD7">
        <w:t> </w:t>
      </w:r>
      <w:r w:rsidRPr="00B32689">
        <w:t>: 58 «</w:t>
      </w:r>
      <w:r w:rsidR="00062CD7">
        <w:t> </w:t>
      </w:r>
      <w:r w:rsidRPr="00B32689">
        <w:t>oui</w:t>
      </w:r>
      <w:r w:rsidR="00062CD7">
        <w:t> </w:t>
      </w:r>
      <w:r w:rsidRPr="00B32689">
        <w:t>», 65 «</w:t>
      </w:r>
      <w:r w:rsidR="00062CD7">
        <w:t> </w:t>
      </w:r>
      <w:r w:rsidRPr="00B32689">
        <w:t>non</w:t>
      </w:r>
      <w:r w:rsidR="00062CD7">
        <w:t> </w:t>
      </w:r>
      <w:r w:rsidRPr="00B32689">
        <w:t>».</w:t>
      </w:r>
    </w:p>
    <w:p w14:paraId="18B4F0D7" w14:textId="5344C6B4" w:rsidR="00B32689" w:rsidRDefault="00B32689" w:rsidP="00B32689">
      <w:pPr>
        <w:pStyle w:val="Paragraphedeliste"/>
        <w:numPr>
          <w:ilvl w:val="0"/>
          <w:numId w:val="45"/>
        </w:numPr>
      </w:pPr>
      <w:r w:rsidRPr="00B32689">
        <w:t>Réponses pour le terme «</w:t>
      </w:r>
      <w:r w:rsidR="00062CD7">
        <w:t> </w:t>
      </w:r>
      <w:r w:rsidRPr="00B32689">
        <w:t>personne en situation de handicap</w:t>
      </w:r>
      <w:r w:rsidR="00062CD7">
        <w:t> </w:t>
      </w:r>
      <w:r w:rsidRPr="00B32689">
        <w:t>»</w:t>
      </w:r>
      <w:r w:rsidR="00062CD7">
        <w:t> </w:t>
      </w:r>
      <w:r w:rsidRPr="00B32689">
        <w:t>: 85 «</w:t>
      </w:r>
      <w:r w:rsidR="00062CD7">
        <w:t> </w:t>
      </w:r>
      <w:r w:rsidRPr="00B32689">
        <w:t>oui</w:t>
      </w:r>
      <w:r w:rsidR="00062CD7">
        <w:t> </w:t>
      </w:r>
      <w:r w:rsidRPr="00B32689">
        <w:t>», 38 «</w:t>
      </w:r>
      <w:r w:rsidR="00062CD7">
        <w:t> </w:t>
      </w:r>
      <w:r w:rsidRPr="00B32689">
        <w:t>non</w:t>
      </w:r>
      <w:r w:rsidR="00062CD7">
        <w:t> </w:t>
      </w:r>
      <w:r w:rsidRPr="00B32689">
        <w:t>».</w:t>
      </w:r>
    </w:p>
    <w:p w14:paraId="376B5547" w14:textId="34ACDCBD" w:rsidR="00B32689" w:rsidRDefault="00B32689" w:rsidP="00B32689">
      <w:pPr>
        <w:pStyle w:val="Paragraphedeliste"/>
        <w:numPr>
          <w:ilvl w:val="0"/>
          <w:numId w:val="45"/>
        </w:numPr>
      </w:pPr>
      <w:r w:rsidRPr="00B32689">
        <w:t>Réponses pour le terme «</w:t>
      </w:r>
      <w:r w:rsidR="00062CD7">
        <w:t> </w:t>
      </w:r>
      <w:r w:rsidRPr="00B32689">
        <w:t>personne porteuse de handicap</w:t>
      </w:r>
      <w:r w:rsidR="00062CD7">
        <w:t> </w:t>
      </w:r>
      <w:r w:rsidRPr="00B32689">
        <w:t>»</w:t>
      </w:r>
      <w:r w:rsidR="00062CD7">
        <w:t> </w:t>
      </w:r>
      <w:r w:rsidRPr="00B32689">
        <w:t>: 15 «</w:t>
      </w:r>
      <w:r w:rsidR="00062CD7">
        <w:t> </w:t>
      </w:r>
      <w:r w:rsidRPr="00B32689">
        <w:t>oui</w:t>
      </w:r>
      <w:r w:rsidR="00062CD7">
        <w:t> </w:t>
      </w:r>
      <w:r w:rsidRPr="00B32689">
        <w:t>», 110 «</w:t>
      </w:r>
      <w:r w:rsidR="00062CD7">
        <w:t> </w:t>
      </w:r>
      <w:r w:rsidRPr="00B32689">
        <w:t>non</w:t>
      </w:r>
      <w:r w:rsidR="00062CD7">
        <w:t> </w:t>
      </w:r>
      <w:r w:rsidRPr="00B32689">
        <w:t>».</w:t>
      </w:r>
    </w:p>
    <w:p w14:paraId="0656EF61" w14:textId="5009A135" w:rsidR="00B32689" w:rsidRPr="00B32689" w:rsidRDefault="00B32689" w:rsidP="00B32689">
      <w:pPr>
        <w:pStyle w:val="Paragraphedeliste"/>
        <w:numPr>
          <w:ilvl w:val="0"/>
          <w:numId w:val="45"/>
        </w:numPr>
      </w:pPr>
      <w:r w:rsidRPr="00B32689">
        <w:t>Réponse pour l’option «</w:t>
      </w:r>
      <w:r w:rsidR="00062CD7">
        <w:t> </w:t>
      </w:r>
      <w:r w:rsidRPr="00B32689">
        <w:t>Autre</w:t>
      </w:r>
      <w:r w:rsidR="00062CD7">
        <w:t> </w:t>
      </w:r>
      <w:r w:rsidRPr="00B32689">
        <w:t>»</w:t>
      </w:r>
      <w:r w:rsidR="00062CD7">
        <w:t> </w:t>
      </w:r>
      <w:r w:rsidRPr="00B32689">
        <w:t>: 22 «</w:t>
      </w:r>
      <w:r w:rsidR="00062CD7">
        <w:t> </w:t>
      </w:r>
      <w:r w:rsidRPr="00B32689">
        <w:t>oui</w:t>
      </w:r>
      <w:r w:rsidR="00062CD7">
        <w:t> </w:t>
      </w:r>
      <w:r w:rsidRPr="00B32689">
        <w:t>».</w:t>
      </w:r>
    </w:p>
    <w:p w14:paraId="515D166A" w14:textId="77777777" w:rsidR="000E2D12" w:rsidRPr="00167C54" w:rsidRDefault="000E2D12" w:rsidP="000E2D12">
      <w:pPr>
        <w:pStyle w:val="Titre6"/>
      </w:pPr>
      <w:r>
        <w:t>« Personne handicapée »</w:t>
      </w:r>
    </w:p>
    <w:p w14:paraId="7B31CA27" w14:textId="79F35001" w:rsidR="000E2D12" w:rsidRDefault="000E2D12" w:rsidP="000E2D12">
      <w:r>
        <w:t>Le terme « </w:t>
      </w:r>
      <w:r w:rsidRPr="00EF2946">
        <w:rPr>
          <w:b/>
          <w:bCs/>
        </w:rPr>
        <w:t>personne handicapée</w:t>
      </w:r>
      <w:r>
        <w:t> »</w:t>
      </w:r>
      <w:r w:rsidR="00FB236E">
        <w:t xml:space="preserve"> </w:t>
      </w:r>
      <w:r>
        <w:t>est largement préféré par les répondantes et répondants PSH. Il est perçu comme direct, sans euphémisme, et reflète la réalité vécue.</w:t>
      </w:r>
    </w:p>
    <w:p w14:paraId="40253EB7" w14:textId="27DE018A" w:rsidR="000E2D12" w:rsidRPr="008E4B56" w:rsidRDefault="000E2D12" w:rsidP="000E2D12">
      <w:r>
        <w:t>Les PSH considèrent que ce terme met la personne au centre, sans minimiser leur handicap. Il est vu comme une manière d’affirmer son identité, surtout dans une démarche de réappropriation : « mon handicap fait partie de moi » (</w:t>
      </w:r>
      <w:r w:rsidR="0067014B">
        <w:t xml:space="preserve">réponse d’une personne </w:t>
      </w:r>
      <w:r>
        <w:t>PSH à l’enquête, 2023).</w:t>
      </w:r>
    </w:p>
    <w:p w14:paraId="6FE3D8C1" w14:textId="0E6F6254" w:rsidR="000E2D12" w:rsidRDefault="000E2D12" w:rsidP="00DA34B7">
      <w:r>
        <w:t>Certaines personnes, principalement parmi les PSH, trouvent que ce terme valorise la personne en tant qu’individu avant tout, sans chercher à édulcorer la condition du handicap. Ces personnes pensent que l’utilisation de l’adjectif « handicapé » ou « handicapée » représente un moyen de normaliser leur condition et d’affirmer sans honte « Je suis handicapé.e, c’est une part de mon identité » (</w:t>
      </w:r>
      <w:r w:rsidR="00EC5162">
        <w:t xml:space="preserve">réponse d’une personne </w:t>
      </w:r>
      <w:r>
        <w:t>PSH à l’enquête, 2023).</w:t>
      </w:r>
    </w:p>
    <w:p w14:paraId="12FF61FF" w14:textId="77777777" w:rsidR="000E2D12" w:rsidRDefault="000E2D12" w:rsidP="000E2D12">
      <w:r>
        <w:t>Cependant, parmi les personnes NPSH, ce terme peut parfois être perçu comme trop brut ou comme étiquette négative.</w:t>
      </w:r>
    </w:p>
    <w:p w14:paraId="6A5F2D1B" w14:textId="77777777" w:rsidR="000E2D12" w:rsidRPr="00817EAD" w:rsidRDefault="000E2D12" w:rsidP="000E2D12">
      <w:pPr>
        <w:pStyle w:val="Titre6"/>
      </w:pPr>
      <w:r>
        <w:lastRenderedPageBreak/>
        <w:t>« Personne en situation de handicap »</w:t>
      </w:r>
    </w:p>
    <w:p w14:paraId="60524ADC" w14:textId="468D28D1" w:rsidR="000E2D12" w:rsidRDefault="000E2D12" w:rsidP="000E2D12">
      <w:r>
        <w:t>Le terme « </w:t>
      </w:r>
      <w:r w:rsidRPr="00CD1D7A">
        <w:rPr>
          <w:b/>
          <w:bCs/>
        </w:rPr>
        <w:t>personne en situation de handicap </w:t>
      </w:r>
      <w:r>
        <w:t>»</w:t>
      </w:r>
      <w:r w:rsidR="00FC6E53">
        <w:t xml:space="preserve"> </w:t>
      </w:r>
      <w:r>
        <w:t>est préféré par les NPSH, qui le jugent plus respectueux et politiquement correct. Il met en lumière le rôle de l’environnement et les barrières sociétales dans la création de situations de handicap.</w:t>
      </w:r>
    </w:p>
    <w:p w14:paraId="500EC2E5" w14:textId="77777777" w:rsidR="000E2D12" w:rsidRDefault="000E2D12" w:rsidP="000E2D12">
      <w:r>
        <w:t xml:space="preserve">Les NPSH utilisent souvent ce terme pour souligner que le handicap est une situation induite par des obstacles sociaux, et non une condition intrinsèque de la personne. </w:t>
      </w:r>
    </w:p>
    <w:p w14:paraId="6157B763" w14:textId="76ACC3A6" w:rsidR="000E2D12" w:rsidRDefault="000E2D12" w:rsidP="000E2D12">
      <w:pPr>
        <w:pStyle w:val="Citationintense"/>
      </w:pPr>
      <w:r>
        <w:t>«</w:t>
      </w:r>
      <w:r w:rsidRPr="64E34295">
        <w:rPr>
          <w:rFonts w:ascii="Arial" w:hAnsi="Arial" w:cs="Arial"/>
        </w:rPr>
        <w:t> </w:t>
      </w:r>
      <w:r>
        <w:t>Si l’environnement était plus adapté, je n’aurais presque aucun souci à être en société… C’est donc bien la société qui me met en situation de handicap et non ma maladie.</w:t>
      </w:r>
      <w:r w:rsidRPr="64E34295">
        <w:rPr>
          <w:rFonts w:ascii="Arial" w:hAnsi="Arial" w:cs="Arial"/>
        </w:rPr>
        <w:t> </w:t>
      </w:r>
      <w:r>
        <w:t>»</w:t>
      </w:r>
      <w:r w:rsidR="009A2D66">
        <w:t xml:space="preserve"> </w:t>
      </w:r>
      <w:r>
        <w:t>(Réponse d’une personne PSH à l’enquête, 2023)</w:t>
      </w:r>
    </w:p>
    <w:p w14:paraId="7D2335E4" w14:textId="77777777" w:rsidR="000E2D12" w:rsidRDefault="000E2D12" w:rsidP="000E2D12">
      <w:r>
        <w:t>Cependant, ce terme est critiqué par 17,8 % des PSH qui peuvent le percevoir comme un euphémisme ou comme «</w:t>
      </w:r>
      <w:r w:rsidRPr="64E34295">
        <w:rPr>
          <w:rFonts w:ascii="Arial" w:hAnsi="Arial" w:cs="Arial"/>
        </w:rPr>
        <w:t> </w:t>
      </w:r>
      <w:r>
        <w:t>validiste</w:t>
      </w:r>
      <w:r w:rsidRPr="64E34295">
        <w:rPr>
          <w:rFonts w:ascii="Arial" w:hAnsi="Arial" w:cs="Arial"/>
        </w:rPr>
        <w:t> </w:t>
      </w:r>
      <w:r>
        <w:t>».</w:t>
      </w:r>
    </w:p>
    <w:p w14:paraId="4AD75F5E" w14:textId="29A7004C" w:rsidR="000E2D12" w:rsidRDefault="000E2D12" w:rsidP="000E2D12">
      <w:r>
        <w:t>Ces critiques viennent du fait que l’expression semble minimiser la réalité de la vie quotidienne des PSH, déplaçant l’attention sur le contexte externe plutôt que le handicap lui-même :</w:t>
      </w:r>
    </w:p>
    <w:p w14:paraId="43727696" w14:textId="77777777" w:rsidR="000E2D12" w:rsidRDefault="000E2D12" w:rsidP="000E2D12">
      <w:pPr>
        <w:pStyle w:val="Citationintense"/>
        <w:ind w:firstLine="709"/>
      </w:pPr>
      <w:r>
        <w:t>«</w:t>
      </w:r>
      <w:r w:rsidRPr="64E34295">
        <w:rPr>
          <w:rFonts w:ascii="Arial" w:hAnsi="Arial" w:cs="Arial"/>
        </w:rPr>
        <w:t> </w:t>
      </w:r>
      <w:r>
        <w:t>Je suis handicapée quand la société ne s’adapte pas à ma différence</w:t>
      </w:r>
      <w:r w:rsidRPr="64E34295">
        <w:rPr>
          <w:rFonts w:ascii="Arial" w:hAnsi="Arial" w:cs="Arial"/>
        </w:rPr>
        <w:t> </w:t>
      </w:r>
      <w:r>
        <w:t>». (Réponse d’une personne PSH à l’enquête, 2023)</w:t>
      </w:r>
    </w:p>
    <w:p w14:paraId="193C1F61" w14:textId="77777777" w:rsidR="000E2D12" w:rsidRPr="004E2A37" w:rsidRDefault="000E2D12" w:rsidP="000E2D12">
      <w:pPr>
        <w:pStyle w:val="Titre5"/>
        <w:rPr>
          <w:rStyle w:val="Titre4Car"/>
          <w:rFonts w:eastAsiaTheme="majorEastAsia"/>
          <w:color w:val="0B1A34"/>
        </w:rPr>
      </w:pPr>
      <w:r w:rsidRPr="41E2B674">
        <w:rPr>
          <w:rStyle w:val="Titre4Car"/>
          <w:rFonts w:eastAsiaTheme="majorEastAsia"/>
          <w:color w:val="0B1A34"/>
        </w:rPr>
        <w:t>Termes les</w:t>
      </w:r>
      <w:r w:rsidRPr="41E2B674">
        <w:rPr>
          <w:rStyle w:val="normaltextrun"/>
        </w:rPr>
        <w:t xml:space="preserve"> </w:t>
      </w:r>
      <w:r w:rsidRPr="41E2B674">
        <w:rPr>
          <w:rStyle w:val="Titre4Car"/>
          <w:rFonts w:eastAsiaTheme="majorEastAsia"/>
          <w:color w:val="0B1A34"/>
        </w:rPr>
        <w:t>plus rejetés par les PSH, et comparaison avec les termes rejetés par les NPSH </w:t>
      </w:r>
    </w:p>
    <w:p w14:paraId="328C7945" w14:textId="77777777" w:rsidR="000E2D12" w:rsidRDefault="000E2D12" w:rsidP="000E2D12">
      <w:pPr>
        <w:ind w:left="227"/>
        <w:rPr>
          <w:lang w:eastAsia="ja-JP"/>
        </w:rPr>
      </w:pPr>
      <w:r w:rsidRPr="64E34295">
        <w:rPr>
          <w:lang w:eastAsia="ja-JP"/>
        </w:rPr>
        <w:t>L’enquête montre un rejet massif de certains termes, à la fois chez les PSH et les NPSH.</w:t>
      </w:r>
    </w:p>
    <w:p w14:paraId="52152C46" w14:textId="77777777" w:rsidR="000E2D12" w:rsidRPr="007257D6" w:rsidRDefault="000E2D12" w:rsidP="000E2D12">
      <w:pPr>
        <w:pStyle w:val="Titre6"/>
      </w:pPr>
      <w:r>
        <w:t>« Personne porteuse de handicap »</w:t>
      </w:r>
    </w:p>
    <w:p w14:paraId="11505BF7" w14:textId="77777777" w:rsidR="000E2D12" w:rsidRDefault="000E2D12" w:rsidP="000E2D12">
      <w:r>
        <w:t>Le terme « </w:t>
      </w:r>
      <w:r w:rsidRPr="00FE39AE">
        <w:rPr>
          <w:b/>
          <w:bCs/>
        </w:rPr>
        <w:t>personne porteuse de handicap</w:t>
      </w:r>
      <w:r>
        <w:rPr>
          <w:b/>
          <w:bCs/>
        </w:rPr>
        <w:t> »</w:t>
      </w:r>
      <w:r>
        <w:t xml:space="preserve"> est unanimement rejeté par les deux groupes. Il est perçu comme inadapté et déconnecté de la réalité vécue par les PSH, car il suggère que le handicap est un objet que l’on «</w:t>
      </w:r>
      <w:r w:rsidRPr="41E2B674">
        <w:rPr>
          <w:rFonts w:ascii="Arial" w:hAnsi="Arial" w:cs="Arial"/>
        </w:rPr>
        <w:t> </w:t>
      </w:r>
      <w:r>
        <w:t>porte</w:t>
      </w:r>
      <w:r w:rsidRPr="41E2B674">
        <w:rPr>
          <w:rFonts w:ascii="Arial" w:hAnsi="Arial" w:cs="Arial"/>
        </w:rPr>
        <w:t> </w:t>
      </w:r>
      <w:r>
        <w:t>» et que l’on peut théoriquement «</w:t>
      </w:r>
      <w:r w:rsidRPr="41E2B674">
        <w:rPr>
          <w:rFonts w:ascii="Arial" w:hAnsi="Arial" w:cs="Arial"/>
        </w:rPr>
        <w:t> </w:t>
      </w:r>
      <w:r>
        <w:t>déposer</w:t>
      </w:r>
      <w:r w:rsidRPr="41E2B674">
        <w:rPr>
          <w:rFonts w:ascii="Arial" w:hAnsi="Arial" w:cs="Arial"/>
        </w:rPr>
        <w:t> </w:t>
      </w:r>
      <w:r>
        <w:t>».</w:t>
      </w:r>
    </w:p>
    <w:p w14:paraId="52E4C0BC" w14:textId="77777777" w:rsidR="000E2D12" w:rsidRDefault="000E2D12" w:rsidP="000E2D12">
      <w:r>
        <w:t>Pour beaucoup de PSH, cela invisibilise l’impact réel et constant du handicap dans leur vie quotidienne. Ce terme semble perçu comme une tentative malhabile d’adoucir ou de détourner la signification réelle du handicap :</w:t>
      </w:r>
    </w:p>
    <w:p w14:paraId="2CC2DA5E" w14:textId="11A7D606" w:rsidR="000E2D12" w:rsidRPr="00B948F8" w:rsidRDefault="00606FA1" w:rsidP="000E2D12">
      <w:pPr>
        <w:pStyle w:val="Citationintense"/>
      </w:pPr>
      <w:r>
        <w:lastRenderedPageBreak/>
        <w:t>« </w:t>
      </w:r>
      <w:r w:rsidR="000E2D12" w:rsidRPr="00B948F8">
        <w:t xml:space="preserve">Je ne suis pas </w:t>
      </w:r>
      <w:r>
        <w:t>“</w:t>
      </w:r>
      <w:r w:rsidR="000E2D12" w:rsidRPr="00B948F8">
        <w:t>avec handicap</w:t>
      </w:r>
      <w:r>
        <w:t>”</w:t>
      </w:r>
      <w:r w:rsidR="000E2D12" w:rsidRPr="00B948F8">
        <w:t xml:space="preserve"> ou “porteur ou porteuse de handicap”, ce n’est pas une valise ou un fardeau que je traîne ou porte, ça fait partie de moi. Le seul fardeau est le validisme et l’inaccessibilité.</w:t>
      </w:r>
      <w:r w:rsidR="00704019">
        <w:t xml:space="preserve"> » </w:t>
      </w:r>
      <w:r w:rsidR="000E2D12" w:rsidRPr="00B948F8">
        <w:t>(</w:t>
      </w:r>
      <w:r w:rsidR="000E2D12">
        <w:t xml:space="preserve">Réponse d’une personne </w:t>
      </w:r>
      <w:r w:rsidR="000E2D12" w:rsidRPr="00B948F8">
        <w:t>PSH à l’enquête, 2023)</w:t>
      </w:r>
    </w:p>
    <w:p w14:paraId="4A401B78" w14:textId="77777777" w:rsidR="000E2D12" w:rsidRPr="00F105A4" w:rsidRDefault="000E2D12" w:rsidP="000E2D12">
      <w:pPr>
        <w:pStyle w:val="Titre6"/>
      </w:pPr>
      <w:r>
        <w:t>« Handicapé », « Handicapée » (adjectif utilisé comme un nom)</w:t>
      </w:r>
    </w:p>
    <w:p w14:paraId="186AA3D6" w14:textId="5CD426CD" w:rsidR="000E2D12" w:rsidRDefault="000E2D12" w:rsidP="000E2D12">
      <w:r>
        <w:t>L’utilisation de l’adjectif « </w:t>
      </w:r>
      <w:r w:rsidRPr="00FE39AE">
        <w:rPr>
          <w:b/>
          <w:bCs/>
        </w:rPr>
        <w:t>handicapé </w:t>
      </w:r>
      <w:r>
        <w:t>» ou « </w:t>
      </w:r>
      <w:r w:rsidRPr="00FE39AE">
        <w:rPr>
          <w:b/>
          <w:bCs/>
        </w:rPr>
        <w:t>handicapée </w:t>
      </w:r>
      <w:r>
        <w:t>» comme un nom (par exemple « un handicapé », « une handicapée »), bien que toujours employé dans le langage courant, est davantage rejeté par les NPSH que les PSH, qui le perçoivent comme stigmatisant ou péjoratif. Beaucoup le considèrent comme un vestige d’une époque où le handicap était synonyme d’infériorité ou de dépendance.</w:t>
      </w:r>
    </w:p>
    <w:p w14:paraId="4E1C0908" w14:textId="77777777" w:rsidR="000E2D12" w:rsidRPr="005824BE" w:rsidRDefault="000E2D12" w:rsidP="000E2D12">
      <w:pPr>
        <w:pStyle w:val="Titre6"/>
      </w:pPr>
      <w:r>
        <w:t>« Handi », « Handie »</w:t>
      </w:r>
    </w:p>
    <w:p w14:paraId="24934BE7" w14:textId="77777777" w:rsidR="000E2D12" w:rsidRDefault="000E2D12" w:rsidP="000E2D12">
      <w:r>
        <w:t>Le nom « </w:t>
      </w:r>
      <w:r w:rsidRPr="00FE39AE">
        <w:rPr>
          <w:b/>
          <w:bCs/>
        </w:rPr>
        <w:t>handi </w:t>
      </w:r>
      <w:r>
        <w:t>» ou « </w:t>
      </w:r>
      <w:r w:rsidRPr="00FE39AE">
        <w:rPr>
          <w:b/>
          <w:bCs/>
        </w:rPr>
        <w:t>handie </w:t>
      </w:r>
      <w:r>
        <w:t xml:space="preserve">» est moins répandu parmi les répondants et répondantes. Bien qu’il n’ait pas suscité de rejet massif, il n’est pas non plus plébiscité dans les usages courants. </w:t>
      </w:r>
    </w:p>
    <w:p w14:paraId="41D3A825" w14:textId="5058AC15" w:rsidR="000E2D12" w:rsidRDefault="000E2D12" w:rsidP="000E2D12">
      <w:r>
        <w:t>«</w:t>
      </w:r>
      <w:r w:rsidRPr="36D0F59D">
        <w:rPr>
          <w:rFonts w:ascii="Arial" w:hAnsi="Arial" w:cs="Arial"/>
        </w:rPr>
        <w:t> </w:t>
      </w:r>
      <w:r>
        <w:t>Handi.e</w:t>
      </w:r>
      <w:r w:rsidRPr="36D0F59D">
        <w:rPr>
          <w:rFonts w:ascii="Arial" w:hAnsi="Arial" w:cs="Arial"/>
        </w:rPr>
        <w:t> </w:t>
      </w:r>
      <w:r>
        <w:t xml:space="preserve">» semble perçu comme un terme plus familier, presque intime, et </w:t>
      </w:r>
      <w:r w:rsidR="00FF427B">
        <w:t>davantage</w:t>
      </w:r>
      <w:r>
        <w:t xml:space="preserve"> répandu dans les milieux militants.</w:t>
      </w:r>
    </w:p>
    <w:p w14:paraId="6FE67B5D" w14:textId="77777777" w:rsidR="000E2D12" w:rsidRPr="00072C26" w:rsidRDefault="000E2D12" w:rsidP="000E2D12">
      <w:pPr>
        <w:pStyle w:val="Titre6"/>
      </w:pPr>
      <w:r>
        <w:t>« Invalides », « Inaptes », « personnes souffrant de handicap »</w:t>
      </w:r>
    </w:p>
    <w:p w14:paraId="78179C83" w14:textId="77777777" w:rsidR="000E2D12" w:rsidRDefault="000E2D12" w:rsidP="000E2D12">
      <w:r>
        <w:t>Les termes «</w:t>
      </w:r>
      <w:r w:rsidRPr="64E34295">
        <w:rPr>
          <w:rFonts w:ascii="Arial" w:hAnsi="Arial" w:cs="Arial"/>
        </w:rPr>
        <w:t> </w:t>
      </w:r>
      <w:r w:rsidRPr="64E34295">
        <w:rPr>
          <w:b/>
          <w:bCs/>
        </w:rPr>
        <w:t>invalides</w:t>
      </w:r>
      <w:r w:rsidRPr="64E34295">
        <w:rPr>
          <w:rFonts w:ascii="Arial" w:hAnsi="Arial" w:cs="Arial"/>
        </w:rPr>
        <w:t> </w:t>
      </w:r>
      <w:r>
        <w:t>», «</w:t>
      </w:r>
      <w:r w:rsidRPr="64E34295">
        <w:rPr>
          <w:rFonts w:ascii="Arial" w:hAnsi="Arial" w:cs="Arial"/>
        </w:rPr>
        <w:t> </w:t>
      </w:r>
      <w:r w:rsidRPr="64E34295">
        <w:rPr>
          <w:b/>
          <w:bCs/>
        </w:rPr>
        <w:t>inaptes</w:t>
      </w:r>
      <w:r w:rsidRPr="64E34295">
        <w:rPr>
          <w:rFonts w:ascii="Arial" w:hAnsi="Arial" w:cs="Arial"/>
        </w:rPr>
        <w:t> </w:t>
      </w:r>
      <w:r>
        <w:t>», et «</w:t>
      </w:r>
      <w:r w:rsidRPr="64E34295">
        <w:rPr>
          <w:rFonts w:ascii="Arial" w:hAnsi="Arial" w:cs="Arial"/>
        </w:rPr>
        <w:t> </w:t>
      </w:r>
      <w:r w:rsidRPr="64E34295">
        <w:rPr>
          <w:b/>
          <w:bCs/>
        </w:rPr>
        <w:t>personnes souffrant de handicap</w:t>
      </w:r>
      <w:r w:rsidRPr="64E34295">
        <w:rPr>
          <w:rFonts w:ascii="Arial" w:hAnsi="Arial" w:cs="Arial"/>
        </w:rPr>
        <w:t> </w:t>
      </w:r>
      <w:r>
        <w:t>» ont été rejetés par l’ensemble des personnes ayant participé à l’enquête, car ils sont associés à une vision négative et désuète du handicap.</w:t>
      </w:r>
    </w:p>
    <w:p w14:paraId="3CDC4600" w14:textId="77777777" w:rsidR="000E2D12" w:rsidRDefault="000E2D12" w:rsidP="000E2D12">
      <w:r>
        <w:t>Ces expressions véhiculent une image de dépendance, d’invalidité totale, et sont perçues comme réductrices déshumanisantes et stigmatisantes.</w:t>
      </w:r>
    </w:p>
    <w:p w14:paraId="697643F1" w14:textId="77777777" w:rsidR="000E2D12" w:rsidRDefault="000E2D12" w:rsidP="000E2D12">
      <w:r>
        <w:t>«</w:t>
      </w:r>
      <w:r w:rsidRPr="64E34295">
        <w:rPr>
          <w:rFonts w:ascii="Arial" w:hAnsi="Arial" w:cs="Arial"/>
        </w:rPr>
        <w:t> </w:t>
      </w:r>
      <w:r w:rsidRPr="00A85979">
        <w:rPr>
          <w:b/>
          <w:bCs/>
        </w:rPr>
        <w:t>Souffrant de handicap</w:t>
      </w:r>
      <w:r w:rsidRPr="64E34295">
        <w:rPr>
          <w:rFonts w:ascii="Arial" w:hAnsi="Arial" w:cs="Arial"/>
        </w:rPr>
        <w:t> </w:t>
      </w:r>
      <w:r>
        <w:t>» est particulièrement mal vu, car il suggère une souffrance constante et une victimisation des personnes «</w:t>
      </w:r>
      <w:r w:rsidRPr="64E34295">
        <w:rPr>
          <w:rFonts w:ascii="Arial" w:hAnsi="Arial" w:cs="Arial"/>
        </w:rPr>
        <w:t> </w:t>
      </w:r>
      <w:r>
        <w:t>avec handicap</w:t>
      </w:r>
      <w:r w:rsidRPr="64E34295">
        <w:rPr>
          <w:rFonts w:ascii="Arial" w:hAnsi="Arial" w:cs="Arial"/>
        </w:rPr>
        <w:t> </w:t>
      </w:r>
      <w:r>
        <w:t>», ce qui ne correspond pas à la réalité</w:t>
      </w:r>
    </w:p>
    <w:p w14:paraId="79195B80" w14:textId="77777777" w:rsidR="000E2D12" w:rsidRDefault="000E2D12" w:rsidP="000E2D12">
      <w:pPr>
        <w:pStyle w:val="Titre4"/>
      </w:pPr>
      <w:r>
        <w:t>Vocabulaire pour désigner les personnes « sans handicap » </w:t>
      </w:r>
    </w:p>
    <w:p w14:paraId="3C87046A" w14:textId="4C854F6B" w:rsidR="000E2D12" w:rsidRDefault="000E2D12" w:rsidP="00DE3D69">
      <w:r>
        <w:t>On observe un consensus clair sur l’utilisation du terme «</w:t>
      </w:r>
      <w:r w:rsidRPr="64E34295">
        <w:rPr>
          <w:rFonts w:ascii="Arial" w:hAnsi="Arial" w:cs="Arial"/>
        </w:rPr>
        <w:t> </w:t>
      </w:r>
      <w:r>
        <w:t>valides</w:t>
      </w:r>
      <w:r w:rsidRPr="64E34295">
        <w:rPr>
          <w:rFonts w:ascii="Arial" w:hAnsi="Arial" w:cs="Arial"/>
        </w:rPr>
        <w:t> </w:t>
      </w:r>
      <w:r>
        <w:t>» pour désigner les personnes «</w:t>
      </w:r>
      <w:r w:rsidRPr="64E34295">
        <w:rPr>
          <w:rFonts w:ascii="Arial" w:hAnsi="Arial" w:cs="Arial"/>
        </w:rPr>
        <w:t> </w:t>
      </w:r>
      <w:r>
        <w:t>sans handicap</w:t>
      </w:r>
      <w:r w:rsidRPr="64E34295">
        <w:rPr>
          <w:rFonts w:ascii="Arial" w:hAnsi="Arial" w:cs="Arial"/>
        </w:rPr>
        <w:t> </w:t>
      </w:r>
      <w:r>
        <w:t>» : 46 % de l’échantillon global, comprenant à la fois les réponses des groupes PSH et NPSH, privilégie ce terme.</w:t>
      </w:r>
    </w:p>
    <w:p w14:paraId="0885E579" w14:textId="5B6D61FF" w:rsidR="00E7158B" w:rsidRDefault="00E7158B" w:rsidP="00DE3D69">
      <w:r>
        <w:t>Nous détaillons les réponses obtenues ci-dessous.</w:t>
      </w:r>
    </w:p>
    <w:p w14:paraId="782AFD55" w14:textId="6D21A71F" w:rsidR="00072C6C" w:rsidRDefault="00072C6C" w:rsidP="00072C6C">
      <w:pPr>
        <w:pStyle w:val="Titre5"/>
      </w:pPr>
      <w:r w:rsidRPr="00072C6C">
        <w:lastRenderedPageBreak/>
        <w:t>Préférence d’utilisation de termes pour nommer les personnes « sans handicap » par le groupe PSH</w:t>
      </w:r>
    </w:p>
    <w:p w14:paraId="7820BAD4" w14:textId="11E578E8" w:rsidR="00936BE4" w:rsidRDefault="00B322C6" w:rsidP="00B322C6">
      <w:pPr>
        <w:rPr>
          <w:lang w:eastAsia="ja-JP"/>
        </w:rPr>
      </w:pPr>
      <w:r>
        <w:rPr>
          <w:lang w:eastAsia="ja-JP"/>
        </w:rPr>
        <w:t>La liste suivante présente les réponses du groupe PSH à la question « Quel(s) mot(s) préférez-vous utiliser pour définir les personnes “sans handicap” ? »</w:t>
      </w:r>
      <w:r w:rsidR="000D1A0E">
        <w:rPr>
          <w:lang w:eastAsia="ja-JP"/>
        </w:rPr>
        <w:t>, triées par ordre de grandeur.</w:t>
      </w:r>
    </w:p>
    <w:p w14:paraId="764C0BAC" w14:textId="222E150F" w:rsidR="00B322C6" w:rsidRDefault="007C7618" w:rsidP="00B322C6">
      <w:pPr>
        <w:pStyle w:val="Paragraphedeliste"/>
        <w:numPr>
          <w:ilvl w:val="0"/>
          <w:numId w:val="41"/>
        </w:numPr>
      </w:pPr>
      <w:r>
        <w:t>« Valides » : 48 réponses</w:t>
      </w:r>
    </w:p>
    <w:p w14:paraId="3D0788B7" w14:textId="474A9A07" w:rsidR="007C7618" w:rsidRDefault="007C7618" w:rsidP="00B322C6">
      <w:pPr>
        <w:pStyle w:val="Paragraphedeliste"/>
        <w:numPr>
          <w:ilvl w:val="0"/>
          <w:numId w:val="41"/>
        </w:numPr>
      </w:pPr>
      <w:r>
        <w:t>« Personnes valides » : 26 réponses</w:t>
      </w:r>
    </w:p>
    <w:p w14:paraId="085668C7" w14:textId="33793B82" w:rsidR="007C7618" w:rsidRDefault="00473F83" w:rsidP="00B322C6">
      <w:pPr>
        <w:pStyle w:val="Paragraphedeliste"/>
        <w:numPr>
          <w:ilvl w:val="0"/>
          <w:numId w:val="41"/>
        </w:numPr>
      </w:pPr>
      <w:r>
        <w:t>« Personnes sans handicap » : 11</w:t>
      </w:r>
    </w:p>
    <w:p w14:paraId="334FC4A8" w14:textId="7D47C725" w:rsidR="00473F83" w:rsidRDefault="00473F83" w:rsidP="00B322C6">
      <w:pPr>
        <w:pStyle w:val="Paragraphedeliste"/>
        <w:numPr>
          <w:ilvl w:val="0"/>
          <w:numId w:val="41"/>
        </w:numPr>
      </w:pPr>
      <w:r>
        <w:t>« Neurotypiques » : 6</w:t>
      </w:r>
    </w:p>
    <w:p w14:paraId="07963500" w14:textId="3B465C94" w:rsidR="00473F83" w:rsidRDefault="00473F83" w:rsidP="00B322C6">
      <w:pPr>
        <w:pStyle w:val="Paragraphedeliste"/>
        <w:numPr>
          <w:ilvl w:val="0"/>
          <w:numId w:val="41"/>
        </w:numPr>
      </w:pPr>
      <w:r>
        <w:t>« Personnes / Aucun / Pas de distinction » : 3</w:t>
      </w:r>
    </w:p>
    <w:p w14:paraId="1E295A12" w14:textId="76637AF8" w:rsidR="00072C6C" w:rsidRPr="00072C6C" w:rsidRDefault="00AC4262" w:rsidP="00072C6C">
      <w:pPr>
        <w:pStyle w:val="Paragraphedeliste"/>
        <w:numPr>
          <w:ilvl w:val="0"/>
          <w:numId w:val="41"/>
        </w:numPr>
      </w:pPr>
      <w:r>
        <w:t>« Personnes sans handicap reconnu / apparent » : 3</w:t>
      </w:r>
    </w:p>
    <w:p w14:paraId="251683B2" w14:textId="0FF9A831" w:rsidR="00072C6C" w:rsidRDefault="00072C6C" w:rsidP="00072C6C">
      <w:pPr>
        <w:pStyle w:val="Titre5"/>
      </w:pPr>
      <w:r w:rsidRPr="00072C6C">
        <w:t xml:space="preserve">Préférence d’utilisation de termes pour nommer les personnes « sans handicap » par le groupe </w:t>
      </w:r>
      <w:r w:rsidR="001C4215">
        <w:t>N</w:t>
      </w:r>
      <w:r w:rsidRPr="00072C6C">
        <w:t>PSH</w:t>
      </w:r>
    </w:p>
    <w:p w14:paraId="77B61C0A" w14:textId="046BEDE6" w:rsidR="001C4215" w:rsidRDefault="001C4215" w:rsidP="001C4215">
      <w:pPr>
        <w:rPr>
          <w:lang w:eastAsia="ja-JP"/>
        </w:rPr>
      </w:pPr>
      <w:r>
        <w:rPr>
          <w:lang w:eastAsia="ja-JP"/>
        </w:rPr>
        <w:t>La liste suivante présente les réponses du groupe NPSH à la question « Quel(s) mot(s) préférez-vous utiliser pour définir les personnes “sans handicap” ? »</w:t>
      </w:r>
      <w:r w:rsidR="000D1A0E">
        <w:rPr>
          <w:lang w:eastAsia="ja-JP"/>
        </w:rPr>
        <w:t>, triées par ordre de grandeur.</w:t>
      </w:r>
    </w:p>
    <w:p w14:paraId="205EAD56" w14:textId="4D985158" w:rsidR="001C4215" w:rsidRDefault="001C4215" w:rsidP="001C4215">
      <w:pPr>
        <w:pStyle w:val="Paragraphedeliste"/>
        <w:numPr>
          <w:ilvl w:val="0"/>
          <w:numId w:val="41"/>
        </w:numPr>
      </w:pPr>
      <w:r>
        <w:t xml:space="preserve">« Valides » : </w:t>
      </w:r>
      <w:r w:rsidR="00911554">
        <w:t xml:space="preserve">80 </w:t>
      </w:r>
      <w:r>
        <w:t>réponses</w:t>
      </w:r>
    </w:p>
    <w:p w14:paraId="55A1D976" w14:textId="163F32F1" w:rsidR="00911554" w:rsidRDefault="00911554" w:rsidP="00911554">
      <w:pPr>
        <w:pStyle w:val="Paragraphedeliste"/>
        <w:numPr>
          <w:ilvl w:val="0"/>
          <w:numId w:val="41"/>
        </w:numPr>
      </w:pPr>
      <w:r>
        <w:t>« Personnes sans handicap » : 25 réponses</w:t>
      </w:r>
    </w:p>
    <w:p w14:paraId="4872A6F5" w14:textId="54537BE8" w:rsidR="00911554" w:rsidRDefault="00911554" w:rsidP="00911554">
      <w:pPr>
        <w:pStyle w:val="Paragraphedeliste"/>
        <w:numPr>
          <w:ilvl w:val="0"/>
          <w:numId w:val="41"/>
        </w:numPr>
      </w:pPr>
      <w:r>
        <w:t>« Personnes / Aucun / Pas de distinction » : 21 réponses</w:t>
      </w:r>
    </w:p>
    <w:p w14:paraId="6B2C7FE6" w14:textId="7AD68A00" w:rsidR="001C4215" w:rsidRDefault="001C4215" w:rsidP="001C4215">
      <w:pPr>
        <w:pStyle w:val="Paragraphedeliste"/>
        <w:numPr>
          <w:ilvl w:val="0"/>
          <w:numId w:val="41"/>
        </w:numPr>
      </w:pPr>
      <w:r>
        <w:t xml:space="preserve">« Personnes valides » : </w:t>
      </w:r>
      <w:r w:rsidR="00911554">
        <w:t xml:space="preserve">15 </w:t>
      </w:r>
      <w:r>
        <w:t>réponses</w:t>
      </w:r>
    </w:p>
    <w:p w14:paraId="47E474E0" w14:textId="2832C544" w:rsidR="001C4215" w:rsidRDefault="00911554" w:rsidP="001C4215">
      <w:pPr>
        <w:pStyle w:val="Paragraphedeliste"/>
        <w:numPr>
          <w:ilvl w:val="0"/>
          <w:numId w:val="41"/>
        </w:numPr>
      </w:pPr>
      <w:r>
        <w:t>« Je ne sais pas / Pas de préférence » : 14</w:t>
      </w:r>
      <w:r w:rsidR="00A7073C">
        <w:t xml:space="preserve"> réponses</w:t>
      </w:r>
    </w:p>
    <w:p w14:paraId="17040327" w14:textId="7A525061" w:rsidR="001C4215" w:rsidRPr="001C4215" w:rsidRDefault="001C4215" w:rsidP="00ED63BC">
      <w:pPr>
        <w:pStyle w:val="Paragraphedeliste"/>
        <w:numPr>
          <w:ilvl w:val="0"/>
          <w:numId w:val="41"/>
        </w:numPr>
      </w:pPr>
      <w:r>
        <w:t xml:space="preserve">« Personnes </w:t>
      </w:r>
      <w:r w:rsidR="00911554">
        <w:t>ordinaires</w:t>
      </w:r>
      <w:r>
        <w:t xml:space="preserve"> » : </w:t>
      </w:r>
      <w:r w:rsidR="00911554">
        <w:t>6</w:t>
      </w:r>
      <w:r w:rsidR="00A7073C">
        <w:t xml:space="preserve"> réponses</w:t>
      </w:r>
    </w:p>
    <w:p w14:paraId="22C1226A" w14:textId="77777777" w:rsidR="000E2D12" w:rsidRDefault="000E2D12" w:rsidP="000E2D12">
      <w:pPr>
        <w:pStyle w:val="Titre2"/>
      </w:pPr>
      <w:bookmarkStart w:id="28" w:name="_Toc179298939"/>
      <w:bookmarkStart w:id="29" w:name="_Toc184898491"/>
      <w:r>
        <w:t>Interprétation</w:t>
      </w:r>
      <w:bookmarkEnd w:id="28"/>
      <w:r>
        <w:t xml:space="preserve"> des résultats de l’étude</w:t>
      </w:r>
      <w:bookmarkEnd w:id="29"/>
    </w:p>
    <w:p w14:paraId="6651FB85" w14:textId="77777777" w:rsidR="000E2D12" w:rsidRDefault="000E2D12" w:rsidP="00DE3D69">
      <w:pPr>
        <w:rPr>
          <w:lang w:eastAsia="ja-JP"/>
        </w:rPr>
      </w:pPr>
      <w:r w:rsidRPr="64E34295">
        <w:rPr>
          <w:lang w:eastAsia="ja-JP"/>
        </w:rPr>
        <w:t>L’enquête menée par Access42 démontre qu’</w:t>
      </w:r>
      <w:r w:rsidRPr="00EF2946">
        <w:rPr>
          <w:b/>
          <w:bCs/>
          <w:lang w:eastAsia="ja-JP"/>
        </w:rPr>
        <w:t>il n’existe pas de consensus absolu sur le vocabulaire à utiliser pour désigner les personnes «</w:t>
      </w:r>
      <w:r w:rsidRPr="00EF2946">
        <w:rPr>
          <w:rFonts w:ascii="Arial" w:hAnsi="Arial" w:cs="Arial"/>
          <w:b/>
          <w:bCs/>
          <w:lang w:eastAsia="ja-JP"/>
        </w:rPr>
        <w:t> </w:t>
      </w:r>
      <w:r w:rsidRPr="00EF2946">
        <w:rPr>
          <w:b/>
          <w:bCs/>
          <w:lang w:eastAsia="ja-JP"/>
        </w:rPr>
        <w:t>avec handicap</w:t>
      </w:r>
      <w:r w:rsidRPr="00EF2946">
        <w:rPr>
          <w:rFonts w:ascii="Arial" w:hAnsi="Arial" w:cs="Arial"/>
          <w:b/>
          <w:bCs/>
          <w:lang w:eastAsia="ja-JP"/>
        </w:rPr>
        <w:t> </w:t>
      </w:r>
      <w:r w:rsidRPr="00EF2946">
        <w:rPr>
          <w:b/>
          <w:bCs/>
          <w:lang w:eastAsia="ja-JP"/>
        </w:rPr>
        <w:t>»</w:t>
      </w:r>
      <w:r w:rsidRPr="64E34295">
        <w:rPr>
          <w:lang w:eastAsia="ja-JP"/>
        </w:rPr>
        <w:t xml:space="preserve"> au sein des personnes qui y ont répondu.</w:t>
      </w:r>
    </w:p>
    <w:p w14:paraId="722B144D" w14:textId="77777777" w:rsidR="000E2D12" w:rsidRDefault="000E2D12" w:rsidP="00DE3D69">
      <w:pPr>
        <w:rPr>
          <w:lang w:eastAsia="ja-JP"/>
        </w:rPr>
      </w:pPr>
      <w:r w:rsidRPr="64E34295">
        <w:rPr>
          <w:lang w:eastAsia="ja-JP"/>
        </w:rPr>
        <w:t xml:space="preserve">Cependant, </w:t>
      </w:r>
      <w:r w:rsidRPr="00EF2946">
        <w:rPr>
          <w:b/>
          <w:bCs/>
          <w:lang w:eastAsia="ja-JP"/>
        </w:rPr>
        <w:t>certaines tendances émergent</w:t>
      </w:r>
      <w:r w:rsidRPr="64E34295">
        <w:rPr>
          <w:lang w:eastAsia="ja-JP"/>
        </w:rPr>
        <w:t>, révélant à la fois des préférences nettes pour certains termes et un rejet marqué pour d’autres.</w:t>
      </w:r>
    </w:p>
    <w:p w14:paraId="79B6B8E4" w14:textId="77777777" w:rsidR="000E2D12" w:rsidRDefault="000E2D12" w:rsidP="00DE3D69">
      <w:pPr>
        <w:rPr>
          <w:lang w:eastAsia="ja-JP"/>
        </w:rPr>
      </w:pPr>
      <w:r w:rsidRPr="64E34295">
        <w:rPr>
          <w:lang w:eastAsia="ja-JP"/>
        </w:rPr>
        <w:t xml:space="preserve">Ces résultats doivent être interprétés </w:t>
      </w:r>
      <w:r w:rsidRPr="00EF2946">
        <w:rPr>
          <w:b/>
          <w:bCs/>
          <w:lang w:eastAsia="ja-JP"/>
        </w:rPr>
        <w:t>avec précaution</w:t>
      </w:r>
      <w:r w:rsidRPr="64E34295">
        <w:rPr>
          <w:lang w:eastAsia="ja-JP"/>
        </w:rPr>
        <w:t>, en tenant compte de la diversité des profils, des perceptions personnelles et des contextes d’utilisation des termes.</w:t>
      </w:r>
    </w:p>
    <w:p w14:paraId="71E00AD2" w14:textId="77777777" w:rsidR="000E2D12" w:rsidRDefault="000E2D12" w:rsidP="000E2D12">
      <w:pPr>
        <w:pStyle w:val="Titre3"/>
      </w:pPr>
      <w:bookmarkStart w:id="30" w:name="_Toc184898492"/>
      <w:r>
        <w:lastRenderedPageBreak/>
        <w:t>Absence de consensus sur les termes à utiliser pour désigner les personnes « avec handicap »</w:t>
      </w:r>
      <w:bookmarkEnd w:id="30"/>
    </w:p>
    <w:p w14:paraId="3B0C0E34" w14:textId="77777777" w:rsidR="000E2D12" w:rsidRDefault="000E2D12" w:rsidP="00DE3D69">
      <w:pPr>
        <w:rPr>
          <w:lang w:eastAsia="ja-JP"/>
        </w:rPr>
      </w:pPr>
      <w:r w:rsidRPr="64E34295">
        <w:rPr>
          <w:lang w:eastAsia="ja-JP"/>
        </w:rPr>
        <w:t>Le principal enseignement de cette enquête est l’absence de consensus clair sur un terme unique à utiliser pour désigner les personnes «</w:t>
      </w:r>
      <w:r w:rsidRPr="64E34295">
        <w:rPr>
          <w:rFonts w:ascii="Arial" w:hAnsi="Arial" w:cs="Arial"/>
          <w:lang w:eastAsia="ja-JP"/>
        </w:rPr>
        <w:t> </w:t>
      </w:r>
      <w:r w:rsidRPr="64E34295">
        <w:rPr>
          <w:lang w:eastAsia="ja-JP"/>
        </w:rPr>
        <w:t>avec handicap</w:t>
      </w:r>
      <w:r w:rsidRPr="64E34295">
        <w:rPr>
          <w:rFonts w:ascii="Arial" w:hAnsi="Arial" w:cs="Arial"/>
          <w:lang w:eastAsia="ja-JP"/>
        </w:rPr>
        <w:t> </w:t>
      </w:r>
      <w:r w:rsidRPr="64E34295">
        <w:rPr>
          <w:lang w:eastAsia="ja-JP"/>
        </w:rPr>
        <w:t>».</w:t>
      </w:r>
    </w:p>
    <w:p w14:paraId="5889BABA" w14:textId="77777777" w:rsidR="000E2D12" w:rsidRDefault="000E2D12" w:rsidP="00DE3D69">
      <w:pPr>
        <w:rPr>
          <w:lang w:eastAsia="ja-JP"/>
        </w:rPr>
      </w:pPr>
      <w:r w:rsidRPr="62928B13">
        <w:rPr>
          <w:lang w:eastAsia="ja-JP"/>
        </w:rPr>
        <w:t>Bien que les termes comme «</w:t>
      </w:r>
      <w:r w:rsidRPr="62928B13">
        <w:rPr>
          <w:rFonts w:ascii="Arial" w:hAnsi="Arial" w:cs="Arial"/>
          <w:lang w:eastAsia="ja-JP"/>
        </w:rPr>
        <w:t> </w:t>
      </w:r>
      <w:r w:rsidRPr="62928B13">
        <w:rPr>
          <w:lang w:eastAsia="ja-JP"/>
        </w:rPr>
        <w:t>personne handicapée</w:t>
      </w:r>
      <w:r w:rsidRPr="62928B13">
        <w:rPr>
          <w:rFonts w:ascii="Arial" w:hAnsi="Arial" w:cs="Arial"/>
          <w:lang w:eastAsia="ja-JP"/>
        </w:rPr>
        <w:t> </w:t>
      </w:r>
      <w:r w:rsidRPr="62928B13">
        <w:rPr>
          <w:lang w:eastAsia="ja-JP"/>
        </w:rPr>
        <w:t>» et «</w:t>
      </w:r>
      <w:r w:rsidRPr="62928B13">
        <w:rPr>
          <w:rFonts w:ascii="Arial" w:hAnsi="Arial" w:cs="Arial"/>
          <w:lang w:eastAsia="ja-JP"/>
        </w:rPr>
        <w:t> </w:t>
      </w:r>
      <w:r w:rsidRPr="62928B13">
        <w:rPr>
          <w:lang w:eastAsia="ja-JP"/>
        </w:rPr>
        <w:t>personnes en situation de handicap</w:t>
      </w:r>
      <w:r w:rsidRPr="62928B13">
        <w:rPr>
          <w:rFonts w:ascii="Arial" w:hAnsi="Arial" w:cs="Arial"/>
          <w:lang w:eastAsia="ja-JP"/>
        </w:rPr>
        <w:t> </w:t>
      </w:r>
      <w:r w:rsidRPr="62928B13">
        <w:rPr>
          <w:lang w:eastAsia="ja-JP"/>
        </w:rPr>
        <w:t>» soient largement employés, les résultats indiquent qu’ils ne sont pas perçus de manière unanime.</w:t>
      </w:r>
    </w:p>
    <w:p w14:paraId="36CD699B" w14:textId="77777777" w:rsidR="000E2D12" w:rsidRDefault="000E2D12" w:rsidP="000E2D12">
      <w:pPr>
        <w:rPr>
          <w:lang w:eastAsia="ja-JP"/>
        </w:rPr>
      </w:pPr>
      <w:r>
        <w:rPr>
          <w:lang w:eastAsia="ja-JP"/>
        </w:rPr>
        <w:t>Nous pouvons émettre l’hypothèse de plusieurs facteurs expliquant ces résultats :</w:t>
      </w:r>
    </w:p>
    <w:p w14:paraId="015938B4" w14:textId="77777777" w:rsidR="000E2D12" w:rsidRDefault="000E2D12" w:rsidP="000E2D12">
      <w:pPr>
        <w:pStyle w:val="Paragraphedeliste"/>
        <w:numPr>
          <w:ilvl w:val="0"/>
          <w:numId w:val="38"/>
        </w:numPr>
      </w:pPr>
      <w:r>
        <w:t xml:space="preserve">la </w:t>
      </w:r>
      <w:r w:rsidRPr="00EB5A97">
        <w:rPr>
          <w:b/>
          <w:bCs/>
        </w:rPr>
        <w:t>variabilité individuelle </w:t>
      </w:r>
      <w:r>
        <w:t>: les personnes concernées par le handicap n’ont pas toutes la même perception de leur condition ni de la manière dont elles souhaitent en parler. Il est important de prendre en compte toutes les individualités ;</w:t>
      </w:r>
    </w:p>
    <w:p w14:paraId="56E0F940" w14:textId="77777777" w:rsidR="000E2D12" w:rsidRDefault="000E2D12" w:rsidP="000E2D12">
      <w:pPr>
        <w:pStyle w:val="Paragraphedeliste"/>
        <w:numPr>
          <w:ilvl w:val="0"/>
          <w:numId w:val="38"/>
        </w:numPr>
        <w:spacing w:line="259" w:lineRule="auto"/>
      </w:pPr>
      <w:r>
        <w:t xml:space="preserve">le </w:t>
      </w:r>
      <w:r w:rsidRPr="00EB5A97">
        <w:rPr>
          <w:b/>
          <w:bCs/>
        </w:rPr>
        <w:t>facteur contextuel</w:t>
      </w:r>
      <w:r>
        <w:t> : les résultats ont révélé que l’usage des termes varie selon le contexte dans lequel ils sont employés. Nous pouvons émettre l’hypothèse que dans des environnements professionnels ou institutionnels, des expressions plus neutres ou formelles sont privilégiées, à l’instar du vocabulaire législatif («</w:t>
      </w:r>
      <w:r w:rsidRPr="00EB5A97">
        <w:rPr>
          <w:rFonts w:ascii="Arial" w:hAnsi="Arial" w:cs="Arial"/>
        </w:rPr>
        <w:t> </w:t>
      </w:r>
      <w:r>
        <w:t>personne en situation de handicap</w:t>
      </w:r>
      <w:r w:rsidRPr="00EB5A97">
        <w:rPr>
          <w:rFonts w:ascii="Arial" w:hAnsi="Arial" w:cs="Arial"/>
        </w:rPr>
        <w:t> </w:t>
      </w:r>
      <w:r>
        <w:t>»). Néanmoins, dans les discussions personnelles ou les milieux militants, nous avons vu dans la littérature que d’autres termes tels que «</w:t>
      </w:r>
      <w:r w:rsidRPr="00EB5A97">
        <w:rPr>
          <w:rFonts w:ascii="Arial" w:hAnsi="Arial" w:cs="Arial"/>
        </w:rPr>
        <w:t> </w:t>
      </w:r>
      <w:r>
        <w:t>handicapé. e</w:t>
      </w:r>
      <w:r w:rsidRPr="00EB5A97">
        <w:rPr>
          <w:rFonts w:ascii="Arial" w:hAnsi="Arial" w:cs="Arial"/>
        </w:rPr>
        <w:t> </w:t>
      </w:r>
      <w:r>
        <w:t>» ou «</w:t>
      </w:r>
      <w:r w:rsidRPr="00EB5A97">
        <w:rPr>
          <w:rFonts w:ascii="Arial" w:hAnsi="Arial" w:cs="Arial"/>
        </w:rPr>
        <w:t> </w:t>
      </w:r>
      <w:r>
        <w:t>handi. e</w:t>
      </w:r>
      <w:r w:rsidRPr="00EB5A97">
        <w:rPr>
          <w:rFonts w:ascii="Arial" w:hAnsi="Arial" w:cs="Arial"/>
        </w:rPr>
        <w:t> </w:t>
      </w:r>
      <w:r>
        <w:t>» sont parfois utilisés notamment comme moyen de revendication politique ;</w:t>
      </w:r>
    </w:p>
    <w:p w14:paraId="0FC6FE5F" w14:textId="4EB5256C" w:rsidR="000E2D12" w:rsidRDefault="000E2D12" w:rsidP="000E2D12">
      <w:pPr>
        <w:pStyle w:val="Paragraphedeliste"/>
        <w:numPr>
          <w:ilvl w:val="0"/>
          <w:numId w:val="38"/>
        </w:numPr>
      </w:pPr>
      <w:r>
        <w:t xml:space="preserve">la </w:t>
      </w:r>
      <w:r w:rsidRPr="00EB5A97">
        <w:rPr>
          <w:b/>
          <w:bCs/>
        </w:rPr>
        <w:t>différence de statut</w:t>
      </w:r>
      <w:r w:rsidR="00D637C2">
        <w:t xml:space="preserve"> entre les </w:t>
      </w:r>
      <w:r>
        <w:t xml:space="preserve">PSH </w:t>
      </w:r>
      <w:r w:rsidR="001F7BC6">
        <w:t xml:space="preserve">et </w:t>
      </w:r>
      <w:r w:rsidR="00487F5D">
        <w:t xml:space="preserve">les </w:t>
      </w:r>
      <w:r w:rsidR="00E43D82">
        <w:t>N</w:t>
      </w:r>
      <w:r>
        <w:t>PSH : une autre distinction importante réside entre les perceptions des personnes «</w:t>
      </w:r>
      <w:r w:rsidRPr="00EB5A97">
        <w:rPr>
          <w:rFonts w:ascii="Arial" w:hAnsi="Arial" w:cs="Arial"/>
        </w:rPr>
        <w:t> </w:t>
      </w:r>
      <w:r>
        <w:t>avec handicap</w:t>
      </w:r>
      <w:r w:rsidRPr="00EB5A97">
        <w:rPr>
          <w:rFonts w:ascii="Arial" w:hAnsi="Arial" w:cs="Arial"/>
        </w:rPr>
        <w:t> </w:t>
      </w:r>
      <w:r>
        <w:t>» et les personnes «</w:t>
      </w:r>
      <w:r w:rsidRPr="00EB5A97">
        <w:rPr>
          <w:rFonts w:ascii="Arial" w:hAnsi="Arial" w:cs="Arial"/>
        </w:rPr>
        <w:t> </w:t>
      </w:r>
      <w:r>
        <w:t>sans handicap</w:t>
      </w:r>
      <w:r w:rsidRPr="00EB5A97">
        <w:rPr>
          <w:rFonts w:ascii="Arial" w:hAnsi="Arial" w:cs="Arial"/>
        </w:rPr>
        <w:t> </w:t>
      </w:r>
      <w:r>
        <w:t xml:space="preserve">». Les </w:t>
      </w:r>
      <w:r w:rsidR="00A9314F">
        <w:t>N</w:t>
      </w:r>
      <w:r>
        <w:t>PSH, souvent soucieu</w:t>
      </w:r>
      <w:r w:rsidR="00A9314F">
        <w:t>ses</w:t>
      </w:r>
      <w:r>
        <w:t xml:space="preserve"> de ne pas heurter ou de commettre une maladresse, choisissent des termes perçus comme davantage «</w:t>
      </w:r>
      <w:r w:rsidRPr="00EB5A97">
        <w:rPr>
          <w:rFonts w:ascii="Arial" w:hAnsi="Arial" w:cs="Arial"/>
        </w:rPr>
        <w:t> </w:t>
      </w:r>
      <w:r>
        <w:t>politiquement corrects</w:t>
      </w:r>
      <w:r w:rsidRPr="00EB5A97">
        <w:rPr>
          <w:rFonts w:ascii="Arial" w:hAnsi="Arial" w:cs="Arial"/>
        </w:rPr>
        <w:t> </w:t>
      </w:r>
      <w:r>
        <w:t>», comme «</w:t>
      </w:r>
      <w:r w:rsidRPr="00EB5A97">
        <w:rPr>
          <w:rFonts w:ascii="Arial" w:hAnsi="Arial" w:cs="Arial"/>
        </w:rPr>
        <w:t> </w:t>
      </w:r>
      <w:r>
        <w:t>personne en situation de handicap</w:t>
      </w:r>
      <w:r w:rsidRPr="00EB5A97">
        <w:rPr>
          <w:rFonts w:ascii="Arial" w:hAnsi="Arial" w:cs="Arial"/>
        </w:rPr>
        <w:t> </w:t>
      </w:r>
      <w:r>
        <w:t>». En revanche, les PSH montrent une certaine acceptation des termes plus directs et tendant à valoriser des expressions qui ne minimisent pas la réalité de leur quotidien.</w:t>
      </w:r>
    </w:p>
    <w:p w14:paraId="60193397" w14:textId="77777777" w:rsidR="000E2D12" w:rsidRDefault="000E2D12" w:rsidP="000E2D12">
      <w:pPr>
        <w:pStyle w:val="Titre3"/>
      </w:pPr>
      <w:bookmarkStart w:id="31" w:name="_Toc184898493"/>
      <w:r>
        <w:t xml:space="preserve">Quasi-consensus sur les termes à ne </w:t>
      </w:r>
      <w:r w:rsidRPr="41E2B674">
        <w:rPr>
          <w:i/>
          <w:iCs/>
        </w:rPr>
        <w:t>pas</w:t>
      </w:r>
      <w:r>
        <w:t xml:space="preserve"> utiliser pour désigner les personnes « avec handicap »</w:t>
      </w:r>
      <w:bookmarkEnd w:id="31"/>
    </w:p>
    <w:p w14:paraId="41DD00B8" w14:textId="77777777" w:rsidR="000E2D12" w:rsidRDefault="000E2D12" w:rsidP="007F7CD1">
      <w:pPr>
        <w:rPr>
          <w:lang w:eastAsia="ja-JP"/>
        </w:rPr>
      </w:pPr>
      <w:r w:rsidRPr="64E34295">
        <w:rPr>
          <w:lang w:eastAsia="ja-JP"/>
        </w:rPr>
        <w:t>Malgré l’absence de consensus sur le terme «</w:t>
      </w:r>
      <w:r w:rsidRPr="64E34295">
        <w:rPr>
          <w:rFonts w:ascii="Arial" w:hAnsi="Arial" w:cs="Arial"/>
          <w:lang w:eastAsia="ja-JP"/>
        </w:rPr>
        <w:t> </w:t>
      </w:r>
      <w:r w:rsidRPr="64E34295">
        <w:rPr>
          <w:lang w:eastAsia="ja-JP"/>
        </w:rPr>
        <w:t>idéal</w:t>
      </w:r>
      <w:r w:rsidRPr="64E34295">
        <w:rPr>
          <w:rFonts w:ascii="Arial" w:hAnsi="Arial" w:cs="Arial"/>
          <w:lang w:eastAsia="ja-JP"/>
        </w:rPr>
        <w:t> </w:t>
      </w:r>
      <w:r w:rsidRPr="64E34295">
        <w:rPr>
          <w:lang w:eastAsia="ja-JP"/>
        </w:rPr>
        <w:t>» qui permettrait de désigner les personnes « avec handicap » de la manière la plus universelle possible, l’enquête montre une tendance à l’accord sur les termes à éviter.</w:t>
      </w:r>
    </w:p>
    <w:p w14:paraId="56717D04" w14:textId="77777777" w:rsidR="000E2D12" w:rsidRDefault="000E2D12" w:rsidP="000E2D12">
      <w:pPr>
        <w:ind w:firstLine="708"/>
        <w:rPr>
          <w:lang w:eastAsia="ja-JP"/>
        </w:rPr>
      </w:pPr>
      <w:r w:rsidRPr="62928B13">
        <w:rPr>
          <w:lang w:eastAsia="ja-JP"/>
        </w:rPr>
        <w:t>Ces termes peuvent être perçus comme réducteurs, dévalorisants ou déshumanisants :</w:t>
      </w:r>
    </w:p>
    <w:p w14:paraId="5AD5EB0D" w14:textId="1A246DA3" w:rsidR="000E2D12" w:rsidRDefault="000E2D12" w:rsidP="000E2D12">
      <w:pPr>
        <w:pStyle w:val="Paragraphedeliste"/>
      </w:pPr>
      <w:r>
        <w:t>«</w:t>
      </w:r>
      <w:r w:rsidRPr="62928B13">
        <w:rPr>
          <w:rFonts w:ascii="Arial" w:hAnsi="Arial" w:cs="Arial"/>
        </w:rPr>
        <w:t> </w:t>
      </w:r>
      <w:r w:rsidR="00964317">
        <w:rPr>
          <w:b/>
          <w:bCs/>
        </w:rPr>
        <w:t>p</w:t>
      </w:r>
      <w:r w:rsidRPr="62928B13">
        <w:rPr>
          <w:b/>
          <w:bCs/>
        </w:rPr>
        <w:t>ersonne porteuse de handicap</w:t>
      </w:r>
      <w:r w:rsidRPr="62928B13">
        <w:rPr>
          <w:rFonts w:ascii="Arial" w:hAnsi="Arial" w:cs="Arial"/>
        </w:rPr>
        <w:t> </w:t>
      </w:r>
      <w:r>
        <w:t>» : ce terme, largement rejeté, est critiqué pour sa connotation maladroite et le caractère dissociant entre la personne et son handicap</w:t>
      </w:r>
      <w:r w:rsidRPr="62928B13">
        <w:rPr>
          <w:rFonts w:ascii="Arial" w:hAnsi="Arial" w:cs="Arial"/>
        </w:rPr>
        <w:t> </w:t>
      </w:r>
      <w:r>
        <w:t>», comme s’il s’agissait d’un objet que l’on pourrait porter ou déposer à volonté. Pour de nombreuses PSH, cela invisibilise l’aspect permanent ou constitutif du handicap ;</w:t>
      </w:r>
    </w:p>
    <w:p w14:paraId="5BA74170" w14:textId="40C5EFC3" w:rsidR="000E2D12" w:rsidRDefault="000E2D12" w:rsidP="000E2D12">
      <w:pPr>
        <w:pStyle w:val="Paragraphedeliste"/>
      </w:pPr>
      <w:r>
        <w:t>«</w:t>
      </w:r>
      <w:r w:rsidRPr="64E34295">
        <w:rPr>
          <w:rFonts w:ascii="Arial" w:hAnsi="Arial" w:cs="Arial"/>
        </w:rPr>
        <w:t> </w:t>
      </w:r>
      <w:r w:rsidR="009A004F">
        <w:rPr>
          <w:b/>
          <w:bCs/>
        </w:rPr>
        <w:t>i</w:t>
      </w:r>
      <w:r w:rsidRPr="64E34295">
        <w:rPr>
          <w:b/>
          <w:bCs/>
        </w:rPr>
        <w:t>nvalides</w:t>
      </w:r>
      <w:r w:rsidRPr="64E34295">
        <w:rPr>
          <w:rFonts w:ascii="Arial" w:hAnsi="Arial" w:cs="Arial"/>
        </w:rPr>
        <w:t> </w:t>
      </w:r>
      <w:r>
        <w:t>», «</w:t>
      </w:r>
      <w:r w:rsidRPr="64E34295">
        <w:rPr>
          <w:rFonts w:ascii="Arial" w:hAnsi="Arial" w:cs="Arial"/>
        </w:rPr>
        <w:t> </w:t>
      </w:r>
      <w:r w:rsidRPr="64E34295">
        <w:rPr>
          <w:b/>
          <w:bCs/>
        </w:rPr>
        <w:t>inaptes</w:t>
      </w:r>
      <w:r>
        <w:t>, « </w:t>
      </w:r>
      <w:r w:rsidRPr="64E34295">
        <w:rPr>
          <w:b/>
          <w:bCs/>
        </w:rPr>
        <w:t>personnes souffrant de handicap »</w:t>
      </w:r>
      <w:r>
        <w:t> : ces termes sont majoritairement rejetés, car ils véhiculent une vision négative qui tend à objectifier les personnes « avec handicap ». Ils sont associés à des connotations d’incapacité, de dépendance et de faiblesse, qui renvoient au modèle social médical désuet du handicap. Ces termes sont donc considérés comme inappropriés dans une société moderne qui est censée défendre l’égalité des droits et l’inclusion.</w:t>
      </w:r>
    </w:p>
    <w:p w14:paraId="3A865F39" w14:textId="77777777" w:rsidR="000E2D12" w:rsidRDefault="000E2D12" w:rsidP="001B2928">
      <w:pPr>
        <w:rPr>
          <w:lang w:eastAsia="ja-JP"/>
        </w:rPr>
      </w:pPr>
      <w:r w:rsidRPr="64E34295">
        <w:rPr>
          <w:lang w:eastAsia="ja-JP"/>
        </w:rPr>
        <w:lastRenderedPageBreak/>
        <w:t>Cette réticence à l’égard de certains termes montre que, bien que le vocabulaire évolue, certains mots sont encore perçus comme stigmatisants et dévalorisants, même s’ils sont parfois utilisés sans malveillance.</w:t>
      </w:r>
    </w:p>
    <w:p w14:paraId="4FFFD902" w14:textId="77777777" w:rsidR="000E2D12" w:rsidRDefault="000E2D12" w:rsidP="001B2928">
      <w:pPr>
        <w:rPr>
          <w:lang w:eastAsia="ja-JP"/>
        </w:rPr>
      </w:pPr>
      <w:r w:rsidRPr="62928B13">
        <w:rPr>
          <w:lang w:eastAsia="ja-JP"/>
        </w:rPr>
        <w:t xml:space="preserve">Cela souligne la nécessité de </w:t>
      </w:r>
      <w:r w:rsidRPr="62928B13">
        <w:rPr>
          <w:b/>
          <w:bCs/>
          <w:lang w:eastAsia="ja-JP"/>
        </w:rPr>
        <w:t>sensibiliser davantage le grand public</w:t>
      </w:r>
      <w:r w:rsidRPr="62928B13">
        <w:rPr>
          <w:lang w:eastAsia="ja-JP"/>
        </w:rPr>
        <w:t xml:space="preserve"> et les </w:t>
      </w:r>
      <w:r>
        <w:rPr>
          <w:lang w:eastAsia="ja-JP"/>
        </w:rPr>
        <w:t xml:space="preserve">milieux </w:t>
      </w:r>
      <w:r w:rsidRPr="62928B13">
        <w:rPr>
          <w:lang w:eastAsia="ja-JP"/>
        </w:rPr>
        <w:t>professionnel</w:t>
      </w:r>
      <w:r>
        <w:rPr>
          <w:lang w:eastAsia="ja-JP"/>
        </w:rPr>
        <w:t>s</w:t>
      </w:r>
      <w:r w:rsidRPr="62928B13">
        <w:rPr>
          <w:lang w:eastAsia="ja-JP"/>
        </w:rPr>
        <w:t xml:space="preserve"> sur l’impact du choix des mots.</w:t>
      </w:r>
    </w:p>
    <w:p w14:paraId="2535109F" w14:textId="5630F980" w:rsidR="000E2D12" w:rsidRDefault="008C2804" w:rsidP="000E2D12">
      <w:pPr>
        <w:pStyle w:val="Titre3"/>
      </w:pPr>
      <w:bookmarkStart w:id="32" w:name="_Toc184898494"/>
      <w:r>
        <w:t>Recommandation</w:t>
      </w:r>
      <w:r w:rsidR="000E2D12">
        <w:t> : s’adapter aux préférences chaque personne</w:t>
      </w:r>
      <w:bookmarkEnd w:id="32"/>
    </w:p>
    <w:p w14:paraId="7FCB7701" w14:textId="77777777" w:rsidR="000E2D12" w:rsidRPr="00823FBB" w:rsidRDefault="000E2D12" w:rsidP="000E2D12">
      <w:r w:rsidRPr="00823FBB">
        <w:t>L’un des enseignements majeurs de cette étude est l’importance du contexte</w:t>
      </w:r>
      <w:r>
        <w:t xml:space="preserve"> et des préférences personnelles</w:t>
      </w:r>
      <w:r w:rsidRPr="00823FBB">
        <w:t xml:space="preserve"> dans l’utilisation des termes.</w:t>
      </w:r>
    </w:p>
    <w:p w14:paraId="3BA15A00" w14:textId="77777777" w:rsidR="000E2D12" w:rsidRPr="00823FBB" w:rsidRDefault="000E2D12" w:rsidP="000E2D12">
      <w:r w:rsidRPr="00823FBB">
        <w:t>En effet, la moitié des personnes ayant répondu au questionnaire ont déclaré ajuster leur vocabulaire en fonction du contexte. Cette flexibilité semble particulièrement importante pour les PSH, qui ont indiqué adapter davantage leur langage selon le degré de familiarité avec leur interlocuteur ou de ses préférences.</w:t>
      </w:r>
    </w:p>
    <w:p w14:paraId="3806768F" w14:textId="77777777" w:rsidR="000E2D12" w:rsidRPr="00823FBB" w:rsidRDefault="000E2D12" w:rsidP="000E2D12">
      <w:r w:rsidRPr="00823FBB">
        <w:t xml:space="preserve">Cela conduit à une recommandation clé : l’utilisation du langage ne doit pas être figée. Il est essentiel de </w:t>
      </w:r>
      <w:r w:rsidRPr="00823FBB">
        <w:rPr>
          <w:b/>
          <w:bCs/>
        </w:rPr>
        <w:t>demander aux personnes concernées quel terme elles préfèrent utiliser pour parler de leur situation</w:t>
      </w:r>
      <w:r w:rsidRPr="00823FBB">
        <w:t>.</w:t>
      </w:r>
    </w:p>
    <w:p w14:paraId="6AFF2D81" w14:textId="77777777" w:rsidR="000E2D12" w:rsidRPr="00823FBB" w:rsidRDefault="000E2D12" w:rsidP="000E2D12">
      <w:r w:rsidRPr="00823FBB">
        <w:t>Cela permet non seulement de respecter leur choix personnel, mais aussi d’éviter de les réduire à une expression ou à un terme qui ne leur correspond pas.</w:t>
      </w:r>
    </w:p>
    <w:p w14:paraId="5A819ABC" w14:textId="77777777" w:rsidR="000E2D12" w:rsidRPr="00823FBB" w:rsidRDefault="000E2D12" w:rsidP="000E2D12">
      <w:r w:rsidRPr="00823FBB">
        <w:t>Cette approche consultative dans le choix des mots constitue une étape importante vers une communication plus juste et donc plus respectueuse.</w:t>
      </w:r>
    </w:p>
    <w:p w14:paraId="3919F54A" w14:textId="77777777" w:rsidR="000E2D12" w:rsidRDefault="000E2D12" w:rsidP="000E2D12">
      <w:pPr>
        <w:pStyle w:val="Titre3"/>
      </w:pPr>
      <w:bookmarkStart w:id="33" w:name="_Toc184898495"/>
      <w:r>
        <w:t>Vers une continuité de l’étude ?</w:t>
      </w:r>
      <w:bookmarkEnd w:id="33"/>
    </w:p>
    <w:p w14:paraId="33E3ED4D" w14:textId="77777777" w:rsidR="000E2D12" w:rsidRDefault="000E2D12" w:rsidP="000E2D12">
      <w:pPr>
        <w:tabs>
          <w:tab w:val="left" w:pos="5607"/>
        </w:tabs>
        <w:rPr>
          <w:lang w:eastAsia="ja-JP"/>
        </w:rPr>
      </w:pPr>
      <w:r w:rsidRPr="64E34295">
        <w:rPr>
          <w:lang w:eastAsia="ja-JP"/>
        </w:rPr>
        <w:t>Cette enquête constitue pour nous une première étape dans la compréhension des préférences sémantiques des PSH et NPSH.</w:t>
      </w:r>
    </w:p>
    <w:p w14:paraId="4A137F82" w14:textId="77777777" w:rsidR="000E2D12" w:rsidRDefault="000E2D12" w:rsidP="000E2D12">
      <w:pPr>
        <w:tabs>
          <w:tab w:val="left" w:pos="5607"/>
        </w:tabs>
        <w:rPr>
          <w:lang w:eastAsia="ja-JP"/>
        </w:rPr>
      </w:pPr>
      <w:r w:rsidRPr="64E34295">
        <w:rPr>
          <w:lang w:eastAsia="ja-JP"/>
        </w:rPr>
        <w:t>Toutefois, ces résultats montrent également la complexité du sujet et l’absence de solution unique.</w:t>
      </w:r>
    </w:p>
    <w:p w14:paraId="690F8494" w14:textId="77777777" w:rsidR="000E2D12" w:rsidRDefault="000E2D12" w:rsidP="000E2D12">
      <w:pPr>
        <w:tabs>
          <w:tab w:val="left" w:pos="5607"/>
        </w:tabs>
        <w:rPr>
          <w:lang w:eastAsia="ja-JP"/>
        </w:rPr>
      </w:pPr>
      <w:r w:rsidRPr="64E34295">
        <w:rPr>
          <w:lang w:eastAsia="ja-JP"/>
        </w:rPr>
        <w:t xml:space="preserve">Il serait nécessaire de </w:t>
      </w:r>
      <w:r w:rsidRPr="64E34295">
        <w:rPr>
          <w:b/>
          <w:bCs/>
          <w:lang w:eastAsia="ja-JP"/>
        </w:rPr>
        <w:t>répliquer cette étude sur des panels plus larges et plus diversifiés</w:t>
      </w:r>
      <w:r w:rsidRPr="64E34295">
        <w:rPr>
          <w:lang w:eastAsia="ja-JP"/>
        </w:rPr>
        <w:t xml:space="preserve"> et de développer des méthodes supplémentaires, comme des entretiens individuels ou des groupes de discussion, pour vérifier ce premier lot de résultats et, le cas échéant, approfondir les raisons sous-jacentes aux préférences exprimées.</w:t>
      </w:r>
    </w:p>
    <w:p w14:paraId="135E0041" w14:textId="77777777" w:rsidR="000E2D12" w:rsidRDefault="000E2D12" w:rsidP="000E2D12">
      <w:pPr>
        <w:pStyle w:val="Titre2"/>
        <w:tabs>
          <w:tab w:val="left" w:pos="5607"/>
        </w:tabs>
      </w:pPr>
      <w:bookmarkStart w:id="34" w:name="_Toc179298940"/>
      <w:bookmarkStart w:id="35" w:name="_Toc184898496"/>
      <w:r>
        <w:t>Conclusion</w:t>
      </w:r>
      <w:bookmarkEnd w:id="34"/>
      <w:bookmarkEnd w:id="35"/>
    </w:p>
    <w:p w14:paraId="183C72F7" w14:textId="77777777" w:rsidR="000E2D12" w:rsidRDefault="000E2D12" w:rsidP="000E2D12">
      <w:pPr>
        <w:rPr>
          <w:lang w:eastAsia="ja-JP"/>
        </w:rPr>
      </w:pPr>
      <w:r w:rsidRPr="64E34295">
        <w:rPr>
          <w:lang w:eastAsia="ja-JP"/>
        </w:rPr>
        <w:t>En résumé, bien que l’enquête ne révèle aucun consensus absolu sur le terme le plus approprié pour désigner les personnes « avec handicap », elle met en évidence des préférences pour certains termes et un rejet ferme d’autres :</w:t>
      </w:r>
    </w:p>
    <w:p w14:paraId="62132DCB" w14:textId="77777777" w:rsidR="000E2D12" w:rsidRDefault="000E2D12" w:rsidP="000E2D12">
      <w:pPr>
        <w:pStyle w:val="Paragraphedeliste"/>
      </w:pPr>
      <w:r>
        <w:t xml:space="preserve">pour parler des </w:t>
      </w:r>
      <w:r w:rsidRPr="004730DA">
        <w:rPr>
          <w:b/>
          <w:bCs/>
        </w:rPr>
        <w:t>personnes « avec handicap » </w:t>
      </w:r>
      <w:r>
        <w:t>:</w:t>
      </w:r>
    </w:p>
    <w:p w14:paraId="14D0AA34" w14:textId="77777777" w:rsidR="000E2D12" w:rsidRDefault="000E2D12" w:rsidP="000E2D12">
      <w:pPr>
        <w:pStyle w:val="Paragraphedeliste"/>
        <w:numPr>
          <w:ilvl w:val="1"/>
          <w:numId w:val="12"/>
        </w:numPr>
      </w:pPr>
      <w:r w:rsidRPr="004730DA">
        <w:rPr>
          <w:b/>
          <w:bCs/>
        </w:rPr>
        <w:t>privilégier</w:t>
      </w:r>
      <w:r w:rsidRPr="004730DA">
        <w:t xml:space="preserve"> les expressions « personnes handicapée</w:t>
      </w:r>
      <w:r>
        <w:t>s</w:t>
      </w:r>
      <w:r w:rsidRPr="004730DA">
        <w:t> » et « personnes en situation de handicap »,</w:t>
      </w:r>
    </w:p>
    <w:p w14:paraId="241E3E1F" w14:textId="77777777" w:rsidR="000E2D12" w:rsidRPr="004730DA" w:rsidRDefault="000E2D12" w:rsidP="000E2D12">
      <w:pPr>
        <w:pStyle w:val="Paragraphedeliste"/>
        <w:numPr>
          <w:ilvl w:val="1"/>
          <w:numId w:val="12"/>
        </w:numPr>
      </w:pPr>
      <w:r w:rsidRPr="004730DA">
        <w:rPr>
          <w:b/>
          <w:bCs/>
        </w:rPr>
        <w:t>éviter</w:t>
      </w:r>
      <w:r w:rsidRPr="00F032B0">
        <w:t xml:space="preserve"> d’utiliser les expressions </w:t>
      </w:r>
      <w:r w:rsidRPr="00EF2946">
        <w:t>« </w:t>
      </w:r>
      <w:r w:rsidRPr="00F032B0">
        <w:t>personne porteuse de handicap</w:t>
      </w:r>
      <w:r w:rsidRPr="00EF2946">
        <w:t> »</w:t>
      </w:r>
      <w:r w:rsidRPr="00F032B0">
        <w:t>,</w:t>
      </w:r>
    </w:p>
    <w:p w14:paraId="3741EBB3" w14:textId="77777777" w:rsidR="000E2D12" w:rsidRPr="004730DA" w:rsidRDefault="000E2D12" w:rsidP="000E2D12">
      <w:pPr>
        <w:pStyle w:val="Paragraphedeliste"/>
        <w:numPr>
          <w:ilvl w:val="1"/>
          <w:numId w:val="12"/>
        </w:numPr>
      </w:pPr>
      <w:r w:rsidRPr="004730DA">
        <w:rPr>
          <w:b/>
          <w:bCs/>
        </w:rPr>
        <w:lastRenderedPageBreak/>
        <w:t>ne pas utiliser</w:t>
      </w:r>
      <w:r w:rsidRPr="00F032B0">
        <w:t xml:space="preserve"> les expressions </w:t>
      </w:r>
      <w:r w:rsidRPr="00EF2946">
        <w:t>« </w:t>
      </w:r>
      <w:r w:rsidRPr="00F032B0">
        <w:t>invalides</w:t>
      </w:r>
      <w:r w:rsidRPr="00EF2946">
        <w:t> »</w:t>
      </w:r>
      <w:r w:rsidRPr="00F032B0">
        <w:t xml:space="preserve">, </w:t>
      </w:r>
      <w:r w:rsidRPr="00EF2946">
        <w:t>« </w:t>
      </w:r>
      <w:r w:rsidRPr="00F032B0">
        <w:t>inaptes</w:t>
      </w:r>
      <w:r w:rsidRPr="00EF2946">
        <w:t> »</w:t>
      </w:r>
      <w:r w:rsidRPr="00F032B0">
        <w:t xml:space="preserve">, </w:t>
      </w:r>
      <w:r w:rsidRPr="00EF2946">
        <w:t>« </w:t>
      </w:r>
      <w:r w:rsidRPr="00F032B0">
        <w:t>personnes souffrant de handicap</w:t>
      </w:r>
      <w:r w:rsidRPr="00EF2946">
        <w:t> » </w:t>
      </w:r>
      <w:r w:rsidRPr="00F032B0">
        <w:t>;</w:t>
      </w:r>
    </w:p>
    <w:p w14:paraId="76FC13F5" w14:textId="77777777" w:rsidR="000E2D12" w:rsidRPr="004730DA" w:rsidRDefault="000E2D12" w:rsidP="000E2D12">
      <w:pPr>
        <w:pStyle w:val="Paragraphedeliste"/>
      </w:pPr>
      <w:r>
        <w:t xml:space="preserve">pour parler des </w:t>
      </w:r>
      <w:r w:rsidRPr="004730DA">
        <w:rPr>
          <w:b/>
          <w:bCs/>
        </w:rPr>
        <w:t>personnes « sans handicap » :</w:t>
      </w:r>
    </w:p>
    <w:p w14:paraId="3F96875A" w14:textId="77777777" w:rsidR="000E2D12" w:rsidRDefault="000E2D12" w:rsidP="000E2D12">
      <w:pPr>
        <w:pStyle w:val="Paragraphedeliste"/>
        <w:numPr>
          <w:ilvl w:val="1"/>
          <w:numId w:val="12"/>
        </w:numPr>
      </w:pPr>
      <w:r w:rsidRPr="00EF2946">
        <w:rPr>
          <w:b/>
          <w:bCs/>
        </w:rPr>
        <w:t>privilégier</w:t>
      </w:r>
      <w:r w:rsidRPr="00EF2946">
        <w:t xml:space="preserve"> l’expression </w:t>
      </w:r>
      <w:r>
        <w:rPr>
          <w:b/>
          <w:bCs/>
        </w:rPr>
        <w:t>« </w:t>
      </w:r>
      <w:r w:rsidRPr="004730DA">
        <w:rPr>
          <w:b/>
          <w:bCs/>
        </w:rPr>
        <w:t>personnes valides</w:t>
      </w:r>
      <w:r>
        <w:rPr>
          <w:b/>
          <w:bCs/>
        </w:rPr>
        <w:t> »</w:t>
      </w:r>
      <w:r>
        <w:t>.</w:t>
      </w:r>
    </w:p>
    <w:p w14:paraId="0CD37086" w14:textId="77777777" w:rsidR="000E2D12" w:rsidRDefault="000E2D12" w:rsidP="000E2D12">
      <w:pPr>
        <w:tabs>
          <w:tab w:val="left" w:pos="5607"/>
        </w:tabs>
        <w:rPr>
          <w:lang w:eastAsia="ja-JP"/>
        </w:rPr>
      </w:pPr>
      <w:r w:rsidRPr="62928B13">
        <w:rPr>
          <w:lang w:eastAsia="ja-JP"/>
        </w:rPr>
        <w:t>Cependant, le langage est en constante évolution : les termes aujourd’hui rejetés ou acceptés pourraient changer à l’avenir. Cette flexibilité doit être intégrée dans des pratiques professionnelles, sociales et institutionnelles.</w:t>
      </w:r>
    </w:p>
    <w:p w14:paraId="1042FA2D" w14:textId="134B1913" w:rsidR="00901FC5" w:rsidRPr="00D514CA" w:rsidRDefault="000E2D12" w:rsidP="00D514CA">
      <w:pPr>
        <w:rPr>
          <w:lang w:eastAsia="ja-JP"/>
        </w:rPr>
      </w:pPr>
      <w:r w:rsidRPr="62928B13">
        <w:rPr>
          <w:lang w:eastAsia="ja-JP"/>
        </w:rPr>
        <w:t xml:space="preserve">Répliquer cette étude et poursuivre les discussions sur le sujet nous semblent être des étapes importantes pour approfondir les premières observations mises en exergue par </w:t>
      </w:r>
      <w:r>
        <w:rPr>
          <w:lang w:eastAsia="ja-JP"/>
        </w:rPr>
        <w:t xml:space="preserve">cette </w:t>
      </w:r>
      <w:r w:rsidRPr="62928B13">
        <w:rPr>
          <w:lang w:eastAsia="ja-JP"/>
        </w:rPr>
        <w:t>étude.</w:t>
      </w:r>
    </w:p>
    <w:sectPr w:rsidR="00901FC5" w:rsidRPr="00D514CA" w:rsidSect="00F82727">
      <w:headerReference w:type="default" r:id="rId17"/>
      <w:footerReference w:type="even" r:id="rId18"/>
      <w:footerReference w:type="default" r:id="rId19"/>
      <w:headerReference w:type="first" r:id="rId20"/>
      <w:footerReference w:type="first" r:id="rId21"/>
      <w:pgSz w:w="11900" w:h="16840"/>
      <w:pgMar w:top="1417" w:right="1417" w:bottom="1417" w:left="1417" w:header="567" w:footer="709" w:gutter="0"/>
      <w:cols w:space="708"/>
      <w:titlePg/>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6D423" w14:textId="77777777" w:rsidR="000E2D12" w:rsidRDefault="000E2D12" w:rsidP="008F6E49">
      <w:r>
        <w:separator/>
      </w:r>
    </w:p>
  </w:endnote>
  <w:endnote w:type="continuationSeparator" w:id="0">
    <w:p w14:paraId="40DDEB52" w14:textId="77777777" w:rsidR="000E2D12" w:rsidRDefault="000E2D12" w:rsidP="008F6E49">
      <w:r>
        <w:continuationSeparator/>
      </w:r>
    </w:p>
  </w:endnote>
  <w:endnote w:type="continuationNotice" w:id="1">
    <w:p w14:paraId="465DC15F" w14:textId="77777777" w:rsidR="00596F3D" w:rsidRDefault="00596F3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Ubuntu">
    <w:altName w:val="Calibri"/>
    <w:panose1 w:val="020B0604020202020204"/>
    <w:charset w:val="00"/>
    <w:family w:val="swiss"/>
    <w:pitch w:val="variable"/>
    <w:sig w:usb0="E00002FF" w:usb1="5000205B" w:usb2="00000000" w:usb3="00000000" w:csb0="0000009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Titres CS)">
    <w:altName w:val="Times New Roman"/>
    <w:panose1 w:val="020B0604020202020204"/>
    <w:charset w:val="00"/>
    <w:family w:val="roman"/>
    <w:pitch w:val="variable"/>
    <w:sig w:usb0="E0002AE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urier">
    <w:panose1 w:val="00000000000000000000"/>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362014446"/>
      <w:docPartObj>
        <w:docPartGallery w:val="Page Numbers (Bottom of Page)"/>
        <w:docPartUnique/>
      </w:docPartObj>
    </w:sdtPr>
    <w:sdtEndPr>
      <w:rPr>
        <w:rStyle w:val="Numrodepage"/>
      </w:rPr>
    </w:sdtEndPr>
    <w:sdtContent>
      <w:p w14:paraId="410FA97A" w14:textId="77777777" w:rsidR="004C27CD" w:rsidRDefault="004C27CD" w:rsidP="00C04B1C">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10E5843E" w14:textId="77777777" w:rsidR="004C27CD" w:rsidRDefault="004C27CD" w:rsidP="004C27CD">
    <w:pPr>
      <w:pStyle w:val="Pieddepage"/>
      <w:ind w:right="360"/>
    </w:pPr>
  </w:p>
  <w:p w14:paraId="500EE69C" w14:textId="77777777" w:rsidR="00361807" w:rsidRDefault="0036180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487333293"/>
      <w:docPartObj>
        <w:docPartGallery w:val="Page Numbers (Bottom of Page)"/>
        <w:docPartUnique/>
      </w:docPartObj>
    </w:sdtPr>
    <w:sdtEndPr>
      <w:rPr>
        <w:rStyle w:val="Numrodepage"/>
      </w:rPr>
    </w:sdtEndPr>
    <w:sdtContent>
      <w:p w14:paraId="6B1D768B" w14:textId="772B2E43" w:rsidR="00C04B1C" w:rsidRDefault="00C04B1C" w:rsidP="006D3369">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11</w:t>
        </w:r>
        <w:r>
          <w:rPr>
            <w:rStyle w:val="Numrodepage"/>
          </w:rPr>
          <w:fldChar w:fldCharType="end"/>
        </w:r>
      </w:p>
    </w:sdtContent>
  </w:sdt>
  <w:p w14:paraId="4E6BAF7E" w14:textId="77777777" w:rsidR="001F0B0E" w:rsidRPr="00FD7CAF" w:rsidRDefault="006E6DA9" w:rsidP="004C27CD">
    <w:pPr>
      <w:pStyle w:val="Pieddepage"/>
      <w:ind w:right="360"/>
    </w:pPr>
    <w:r>
      <w:br/>
    </w:r>
    <w:r w:rsidR="0084287E">
      <w:br/>
    </w:r>
    <w:r w:rsidR="00D54556" w:rsidRPr="00FD7CAF">
      <w:t>Access42</w:t>
    </w:r>
    <w:r w:rsidR="00CA0829">
      <w:t xml:space="preserve">, </w:t>
    </w:r>
    <w:r w:rsidR="00415EE7" w:rsidRPr="00FD7CAF">
      <w:t>SCOP</w:t>
    </w:r>
    <w:r w:rsidR="00D54556" w:rsidRPr="00FD7CAF">
      <w:t>-ARL à capital variable</w:t>
    </w:r>
    <w:r w:rsidR="007D186C">
      <w:br/>
    </w:r>
    <w:r w:rsidR="00CA0829">
      <w:t>S</w:t>
    </w:r>
    <w:r w:rsidR="00425AF6">
      <w:t>iège</w:t>
    </w:r>
    <w:r w:rsidR="00CA0829">
      <w:t xml:space="preserve"> </w:t>
    </w:r>
    <w:r w:rsidR="00425AF6">
      <w:t xml:space="preserve">: 21 </w:t>
    </w:r>
    <w:r w:rsidR="006602E3">
      <w:t>bis rue du Simplon, 75018 Paris</w:t>
    </w:r>
    <w:r w:rsidR="00AB6973">
      <w:t xml:space="preserve"> — </w:t>
    </w:r>
    <w:r w:rsidR="001F0B0E" w:rsidRPr="00FD7CAF">
      <w:t>503 062 408 00052 R.C.S. Paris</w:t>
    </w:r>
  </w:p>
  <w:p w14:paraId="143856C8" w14:textId="77777777" w:rsidR="00D54556" w:rsidRPr="00FD7CAF" w:rsidRDefault="001F0B0E" w:rsidP="003C6E53">
    <w:pPr>
      <w:pStyle w:val="Pieddepage"/>
    </w:pPr>
    <w:r w:rsidRPr="00FD7CAF">
      <w:t>Code APE (NAF) : 6201Z - TVA intr</w:t>
    </w:r>
    <w:r w:rsidR="006602E3">
      <w:t>acommunautaire : FR29503062408</w:t>
    </w:r>
  </w:p>
  <w:p w14:paraId="5066009C" w14:textId="77777777" w:rsidR="00D33A0F" w:rsidRDefault="00182FE5" w:rsidP="003C6E53">
    <w:pPr>
      <w:pStyle w:val="Pieddepage"/>
    </w:pPr>
    <w:r>
      <w:t>Organisme de formation – D</w:t>
    </w:r>
    <w:r w:rsidR="00D54556" w:rsidRPr="00FD7CAF">
      <w:t>éclaration d’activité enregistrée sous le numéro 11 95 04806 95 auprès du préfet de région d’Île-de-France. Cet enregistrement ne vaut pas agrément de l’État.</w:t>
    </w:r>
    <w:r w:rsidR="00CD56ED">
      <w:br/>
    </w:r>
  </w:p>
  <w:p w14:paraId="74324539" w14:textId="77777777" w:rsidR="00396A6E" w:rsidRDefault="00396A6E" w:rsidP="003C6E53">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A938D" w14:textId="77777777" w:rsidR="00F82727" w:rsidRPr="00FD7CAF" w:rsidRDefault="00F82727" w:rsidP="00F82727">
    <w:pPr>
      <w:pStyle w:val="Pieddepage"/>
      <w:ind w:right="360"/>
    </w:pPr>
    <w:r w:rsidRPr="00FD7CAF">
      <w:t>Access42</w:t>
    </w:r>
    <w:r>
      <w:t xml:space="preserve">, </w:t>
    </w:r>
    <w:r w:rsidRPr="00FD7CAF">
      <w:t>SCOP-ARL à capital variable</w:t>
    </w:r>
    <w:r>
      <w:br/>
      <w:t xml:space="preserve">Siège : 21 bis rue du Simplon, 75018 Paris — </w:t>
    </w:r>
    <w:r w:rsidRPr="00FD7CAF">
      <w:t>503 062 408 00052 R.C.S. Paris</w:t>
    </w:r>
  </w:p>
  <w:p w14:paraId="139B413F" w14:textId="77777777" w:rsidR="00F82727" w:rsidRPr="00FD7CAF" w:rsidRDefault="00F82727" w:rsidP="00F82727">
    <w:pPr>
      <w:pStyle w:val="Pieddepage"/>
    </w:pPr>
    <w:r w:rsidRPr="00FD7CAF">
      <w:t>Code APE (NAF) : 6201Z - TVA intr</w:t>
    </w:r>
    <w:r>
      <w:t>acommunautaire : FR29503062408</w:t>
    </w:r>
  </w:p>
  <w:p w14:paraId="4622CA21" w14:textId="77777777" w:rsidR="00F82727" w:rsidRDefault="004B5248" w:rsidP="004B5248">
    <w:pPr>
      <w:pStyle w:val="Pieddepage"/>
    </w:pPr>
    <w:r w:rsidRPr="004B5248">
      <w:t>Access42 est un organisme de formation certifié Qualiopi au titre des actions de formation et dont la déclaration d’activité est enregistrée sous le numéro 11 95 04806 95 auprès de la Direction régionale interdépartementale de l’économie, de l’emploi, du travail et des solidarités (DRIEETS) de la région Île-de-France. Cet enregistrement ne vaut pas agrément de l’État.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0E1EE" w14:textId="77777777" w:rsidR="000E2D12" w:rsidRDefault="000E2D12" w:rsidP="008F6E49">
      <w:r>
        <w:separator/>
      </w:r>
    </w:p>
  </w:footnote>
  <w:footnote w:type="continuationSeparator" w:id="0">
    <w:p w14:paraId="7E6A159C" w14:textId="77777777" w:rsidR="000E2D12" w:rsidRDefault="000E2D12" w:rsidP="008F6E49">
      <w:r>
        <w:continuationSeparator/>
      </w:r>
    </w:p>
  </w:footnote>
  <w:footnote w:type="continuationNotice" w:id="1">
    <w:p w14:paraId="1BBB7CC3" w14:textId="77777777" w:rsidR="00596F3D" w:rsidRDefault="00596F3D">
      <w:pPr>
        <w:spacing w:after="0"/>
      </w:pPr>
    </w:p>
  </w:footnote>
  <w:footnote w:id="2">
    <w:p w14:paraId="0527CC18" w14:textId="2E340F9A" w:rsidR="000E2D12" w:rsidRDefault="000E2D12" w:rsidP="000E2D12">
      <w:pPr>
        <w:pStyle w:val="Notedebasdepage"/>
      </w:pPr>
      <w:r>
        <w:rPr>
          <w:rStyle w:val="Appelnotedebasdep"/>
        </w:rPr>
        <w:footnoteRef/>
      </w:r>
      <w:r>
        <w:t xml:space="preserve"> </w:t>
      </w:r>
      <w:r w:rsidRPr="00D2007F">
        <w:t>Access42</w:t>
      </w:r>
      <w:r>
        <w:t xml:space="preserve"> est un cabinet de conseil français et un organisme de formation spécialisé en accessibilité numérique. </w:t>
      </w:r>
    </w:p>
  </w:footnote>
  <w:footnote w:id="3">
    <w:p w14:paraId="62CD5576" w14:textId="77777777" w:rsidR="000E2D12" w:rsidRPr="00FA210A" w:rsidRDefault="000E2D12" w:rsidP="000E2D12">
      <w:pPr>
        <w:pStyle w:val="Notedebasdepage"/>
      </w:pPr>
      <w:r>
        <w:rPr>
          <w:rStyle w:val="Appelnotedebasdep"/>
        </w:rPr>
        <w:footnoteRef/>
      </w:r>
      <w:r w:rsidRPr="00FA210A">
        <w:t xml:space="preserve"> Vygotski, L.S. (</w:t>
      </w:r>
      <w:r>
        <w:t xml:space="preserve">réédition de </w:t>
      </w:r>
      <w:r w:rsidRPr="00FA210A">
        <w:t xml:space="preserve">1987). </w:t>
      </w:r>
      <w:r w:rsidRPr="00FA210A">
        <w:rPr>
          <w:i/>
          <w:iCs/>
        </w:rPr>
        <w:t>Pensée et langage</w:t>
      </w:r>
      <w:r>
        <w:t xml:space="preserve">. </w:t>
      </w:r>
      <w:hyperlink r:id="rId1" w:history="1">
        <w:r w:rsidRPr="00ED79BB">
          <w:rPr>
            <w:rStyle w:val="Lienhypertexte"/>
            <w:sz w:val="16"/>
          </w:rPr>
          <w:t>https://www.persee.fr/doc/rfp_0556-7807_1987_num_79_1_2421_t1_0098_0000_2</w:t>
        </w:r>
      </w:hyperlink>
      <w:r>
        <w:t xml:space="preserve"> </w:t>
      </w:r>
    </w:p>
  </w:footnote>
  <w:footnote w:id="4">
    <w:p w14:paraId="7A54782A" w14:textId="77777777" w:rsidR="000E2D12" w:rsidRPr="0017275F" w:rsidRDefault="000E2D12" w:rsidP="000E2D12">
      <w:pPr>
        <w:pStyle w:val="Notedebasdepage"/>
      </w:pPr>
      <w:r>
        <w:rPr>
          <w:rStyle w:val="Appelnotedebasdep"/>
        </w:rPr>
        <w:footnoteRef/>
      </w:r>
      <w:r w:rsidRPr="00FA210A">
        <w:rPr>
          <w:lang w:val="en-US"/>
        </w:rPr>
        <w:t xml:space="preserve"> Leclercq P., Benazzo, S. (2022). </w:t>
      </w:r>
      <w:r w:rsidRPr="0017275F">
        <w:rPr>
          <w:i/>
          <w:iCs/>
        </w:rPr>
        <w:t>La relativité linguistique et l’acquisition du langage</w:t>
      </w:r>
      <w:r>
        <w:t xml:space="preserve">. </w:t>
      </w:r>
      <w:hyperlink r:id="rId2" w:history="1">
        <w:r w:rsidRPr="00ED79BB">
          <w:rPr>
            <w:rStyle w:val="Lienhypertexte"/>
            <w:sz w:val="16"/>
          </w:rPr>
          <w:t>https://hal.science/hal-03636439/document</w:t>
        </w:r>
      </w:hyperlink>
      <w:r>
        <w:t xml:space="preserve"> </w:t>
      </w:r>
    </w:p>
  </w:footnote>
  <w:footnote w:id="5">
    <w:p w14:paraId="1592DD78" w14:textId="77777777" w:rsidR="000E2D12" w:rsidRDefault="000E2D12" w:rsidP="000E2D12">
      <w:pPr>
        <w:pStyle w:val="Notedebasdepage"/>
      </w:pPr>
      <w:r>
        <w:rPr>
          <w:rStyle w:val="Appelnotedebasdep"/>
        </w:rPr>
        <w:footnoteRef/>
      </w:r>
      <w:r w:rsidRPr="0017275F">
        <w:rPr>
          <w:lang w:val="en-US"/>
        </w:rPr>
        <w:t xml:space="preserve"> Kerr, D. (2006). </w:t>
      </w:r>
      <w:r w:rsidRPr="64E34295">
        <w:rPr>
          <w:i/>
          <w:iCs/>
        </w:rPr>
        <w:t>Mal nommer, c’est discriminer</w:t>
      </w:r>
      <w:r>
        <w:t xml:space="preserve">. </w:t>
      </w:r>
      <w:hyperlink r:id="rId3" w:history="1">
        <w:r w:rsidRPr="64E34295">
          <w:rPr>
            <w:rStyle w:val="Lienhypertexte"/>
            <w:sz w:val="16"/>
            <w:szCs w:val="16"/>
          </w:rPr>
          <w:t>https://shs.cairn.info/revue-vie-sociale-et-traitements-2006-4-page-71?lang=fr</w:t>
        </w:r>
      </w:hyperlink>
      <w:r>
        <w:t xml:space="preserve"> </w:t>
      </w:r>
    </w:p>
  </w:footnote>
  <w:footnote w:id="6">
    <w:p w14:paraId="3E4701F6" w14:textId="77777777" w:rsidR="000E2D12" w:rsidRPr="00EF2946" w:rsidRDefault="000E2D12" w:rsidP="000E2D12">
      <w:pPr>
        <w:pStyle w:val="Notedebasdepage"/>
        <w:rPr>
          <w:i/>
          <w:iCs/>
        </w:rPr>
      </w:pPr>
      <w:r>
        <w:rPr>
          <w:rStyle w:val="Appelnotedebasdep"/>
        </w:rPr>
        <w:footnoteRef/>
      </w:r>
      <w:r>
        <w:t xml:space="preserve"> Cité dans </w:t>
      </w:r>
      <w:r w:rsidRPr="00BE74C7">
        <w:t>Kerr, D. (2006)</w:t>
      </w:r>
      <w:r>
        <w:t xml:space="preserve">, </w:t>
      </w:r>
      <w:r w:rsidRPr="64E34295">
        <w:rPr>
          <w:i/>
          <w:iCs/>
        </w:rPr>
        <w:t>op. cit.</w:t>
      </w:r>
    </w:p>
  </w:footnote>
  <w:footnote w:id="7">
    <w:p w14:paraId="45230B24" w14:textId="77777777" w:rsidR="000E2D12" w:rsidRDefault="000E2D12" w:rsidP="000E2D12">
      <w:pPr>
        <w:pStyle w:val="Notedebasdepage"/>
      </w:pPr>
      <w:r>
        <w:rPr>
          <w:rStyle w:val="Appelnotedebasdep"/>
        </w:rPr>
        <w:footnoteRef/>
      </w:r>
      <w:r>
        <w:t xml:space="preserve"> Haut-commissariat des nations unis aux droits de l’homme (2006). </w:t>
      </w:r>
      <w:r w:rsidRPr="008A7A27">
        <w:rPr>
          <w:i/>
          <w:iCs/>
        </w:rPr>
        <w:t>Convention relative aux droits des personnes handicapées</w:t>
      </w:r>
      <w:r>
        <w:t xml:space="preserve">. </w:t>
      </w:r>
      <w:hyperlink r:id="rId4" w:anchor=":~:text=Par%20personnes%20handicapées%20on%20entend,l'égalité%20avec%20les%20autres" w:history="1">
        <w:r w:rsidRPr="00ED79BB">
          <w:rPr>
            <w:rStyle w:val="Lienhypertexte"/>
            <w:sz w:val="16"/>
          </w:rPr>
          <w:t>https://www.ohchr.org/fr/instruments-mechanisms/instruments/convention-rights-persons-disabilities#:~:text=Par%20personnes%20handicapées%20on%20entend,l'égalité%20avec%20les%20autres</w:t>
        </w:r>
      </w:hyperlink>
      <w:r w:rsidRPr="008A7A27">
        <w:t>.</w:t>
      </w:r>
      <w:r>
        <w:t xml:space="preserve"> </w:t>
      </w:r>
    </w:p>
  </w:footnote>
  <w:footnote w:id="8">
    <w:p w14:paraId="6C6F3692" w14:textId="77777777" w:rsidR="000E2D12" w:rsidRDefault="000E2D12" w:rsidP="000E2D12">
      <w:pPr>
        <w:pStyle w:val="Notedebasdepage"/>
      </w:pPr>
      <w:r>
        <w:rPr>
          <w:rStyle w:val="Appelnotedebasdep"/>
        </w:rPr>
        <w:footnoteRef/>
      </w:r>
      <w:r>
        <w:t xml:space="preserve"> Office des personnes handicapées du Québec (2015). </w:t>
      </w:r>
      <w:r w:rsidRPr="00305180">
        <w:rPr>
          <w:i/>
          <w:iCs/>
        </w:rPr>
        <w:t>On s’élève !</w:t>
      </w:r>
      <w:r>
        <w:t xml:space="preserve"> </w:t>
      </w:r>
      <w:hyperlink r:id="rId5" w:history="1">
        <w:r w:rsidRPr="00ED79BB">
          <w:rPr>
            <w:rStyle w:val="Lienhypertexte"/>
            <w:sz w:val="16"/>
          </w:rPr>
          <w:t>https://www.ophq.gouv.qc.ca/fileadmin/centre_documentaire/Guides/trousse_Vfinal.pdf</w:t>
        </w:r>
      </w:hyperlink>
      <w:r>
        <w:t xml:space="preserve"> </w:t>
      </w:r>
    </w:p>
  </w:footnote>
  <w:footnote w:id="9">
    <w:p w14:paraId="018D7EB9" w14:textId="77777777" w:rsidR="000E2D12" w:rsidRPr="009D7AED" w:rsidRDefault="000E2D12" w:rsidP="000E2D12">
      <w:pPr>
        <w:pStyle w:val="Notedebasdepage"/>
        <w:rPr>
          <w:lang w:val="en-US"/>
        </w:rPr>
      </w:pPr>
      <w:r>
        <w:rPr>
          <w:rStyle w:val="Appelnotedebasdep"/>
        </w:rPr>
        <w:footnoteRef/>
      </w:r>
      <w:r>
        <w:t xml:space="preserve"> Gouvernement des Émirats Arabes Unis (2024). </w:t>
      </w:r>
      <w:r w:rsidRPr="009D7AED">
        <w:rPr>
          <w:i/>
          <w:iCs/>
          <w:lang w:val="en-US"/>
        </w:rPr>
        <w:t>People of determination</w:t>
      </w:r>
      <w:r w:rsidRPr="009D7AED">
        <w:rPr>
          <w:lang w:val="en-US"/>
        </w:rPr>
        <w:t xml:space="preserve">. </w:t>
      </w:r>
      <w:hyperlink r:id="rId6" w:history="1">
        <w:r w:rsidRPr="00ED79BB">
          <w:rPr>
            <w:rStyle w:val="Lienhypertexte"/>
            <w:sz w:val="16"/>
            <w:lang w:val="en-US"/>
          </w:rPr>
          <w:t>https://u.ae/en/information-and-services/social-affairs/people-of-determination</w:t>
        </w:r>
      </w:hyperlink>
      <w:r>
        <w:rPr>
          <w:lang w:val="en-US"/>
        </w:rPr>
        <w:t xml:space="preserve"> </w:t>
      </w:r>
    </w:p>
  </w:footnote>
  <w:footnote w:id="10">
    <w:p w14:paraId="1A7DB4FE" w14:textId="77777777" w:rsidR="007B0732" w:rsidRDefault="007B0732" w:rsidP="007B0732">
      <w:pPr>
        <w:pStyle w:val="Notedebasdepage"/>
      </w:pPr>
      <w:r>
        <w:rPr>
          <w:rStyle w:val="Appelnotedebasdep"/>
        </w:rPr>
        <w:footnoteRef/>
      </w:r>
      <w:r>
        <w:t xml:space="preserve"> Coppet, C. (2018). </w:t>
      </w:r>
      <w:r w:rsidRPr="00F9345C">
        <w:rPr>
          <w:i/>
          <w:iCs/>
        </w:rPr>
        <w:t xml:space="preserve">De l’infirmité à l’égalité des chances : la fabrique du mot « handicapé ». </w:t>
      </w:r>
      <w:hyperlink r:id="rId7" w:history="1">
        <w:r w:rsidRPr="00ED79BB">
          <w:rPr>
            <w:rStyle w:val="Lienhypertexte"/>
            <w:sz w:val="16"/>
          </w:rPr>
          <w:t>https://www.radiofrance.fr/franceculture/de-l-infirmite-a-l-egalite-des-chances-la-fabrique-du-mot-handicape-8130074</w:t>
        </w:r>
      </w:hyperlink>
      <w:r>
        <w:t xml:space="preserve"> </w:t>
      </w:r>
    </w:p>
  </w:footnote>
  <w:footnote w:id="11">
    <w:p w14:paraId="26335552" w14:textId="77777777" w:rsidR="000E2D12" w:rsidRDefault="000E2D12" w:rsidP="000E2D12">
      <w:pPr>
        <w:pStyle w:val="Notedebasdepage"/>
      </w:pPr>
      <w:r>
        <w:rPr>
          <w:rStyle w:val="Appelnotedebasdep"/>
        </w:rPr>
        <w:footnoteRef/>
      </w:r>
      <w:r>
        <w:t xml:space="preserve"> Ministère des solidarités, de l’autonomie et de l’égalité entre les femmes et les hommes (2021). </w:t>
      </w:r>
      <w:r w:rsidRPr="009D7AED">
        <w:rPr>
          <w:i/>
          <w:iCs/>
        </w:rPr>
        <w:t>Installation du Conseil pour les questions sémantiques, sociologiques et éthiques du CNCPH</w:t>
      </w:r>
      <w:r>
        <w:t xml:space="preserve">. </w:t>
      </w:r>
      <w:hyperlink r:id="rId8" w:history="1">
        <w:r w:rsidRPr="00ED79BB">
          <w:rPr>
            <w:rStyle w:val="Lienhypertexte"/>
            <w:sz w:val="16"/>
          </w:rPr>
          <w:t>https://handicap.gouv.fr/installation-du-conseil-pour-les-questions-semantiques-sociologiques-et-ethiques-du-cncph</w:t>
        </w:r>
      </w:hyperlink>
      <w:r>
        <w:t xml:space="preserve"> </w:t>
      </w:r>
    </w:p>
  </w:footnote>
  <w:footnote w:id="12">
    <w:p w14:paraId="1A5D01E5" w14:textId="77777777" w:rsidR="000E2D12" w:rsidRDefault="000E2D12" w:rsidP="000E2D12">
      <w:pPr>
        <w:pStyle w:val="Notedebasdepage"/>
      </w:pPr>
      <w:r>
        <w:rPr>
          <w:rStyle w:val="Appelnotedebasdep"/>
        </w:rPr>
        <w:footnoteRef/>
      </w:r>
      <w:r>
        <w:t xml:space="preserve"> Guillaumet, M., Habiche, C. (2022). </w:t>
      </w:r>
      <w:r w:rsidRPr="00A61346">
        <w:rPr>
          <w:i/>
          <w:iCs/>
        </w:rPr>
        <w:t xml:space="preserve">Simulation de handicap par des personnes valides : qu’en pensent les personnes handicapées ? </w:t>
      </w:r>
      <w:hyperlink r:id="rId9" w:history="1">
        <w:r w:rsidRPr="00ED79BB">
          <w:rPr>
            <w:rStyle w:val="Lienhypertexte"/>
            <w:sz w:val="16"/>
          </w:rPr>
          <w:t>https://access42.net/simulation-handicap-avis-personnes-handicapees/</w:t>
        </w:r>
      </w:hyperlink>
      <w:r>
        <w:t xml:space="preserve"> </w:t>
      </w:r>
    </w:p>
  </w:footnote>
  <w:footnote w:id="13">
    <w:p w14:paraId="7D1E7AE1" w14:textId="77777777" w:rsidR="000E2D12" w:rsidRDefault="000E2D12" w:rsidP="000E2D12">
      <w:pPr>
        <w:pStyle w:val="Notedebasdepage"/>
      </w:pPr>
      <w:r>
        <w:rPr>
          <w:rStyle w:val="Appelnotedebasdep"/>
        </w:rPr>
        <w:footnoteRef/>
      </w:r>
      <w:r>
        <w:t xml:space="preserve"> Les Dévalideuses (2024). </w:t>
      </w:r>
      <w:r w:rsidRPr="00A61346">
        <w:rPr>
          <w:i/>
          <w:iCs/>
        </w:rPr>
        <w:t>Accessibiliser un évènement : le guide des Dévalideuses.</w:t>
      </w:r>
      <w:r>
        <w:t xml:space="preserve"> </w:t>
      </w:r>
      <w:hyperlink r:id="rId10" w:history="1">
        <w:r w:rsidRPr="00ED79BB">
          <w:rPr>
            <w:rStyle w:val="Lienhypertexte"/>
            <w:sz w:val="16"/>
          </w:rPr>
          <w:t>https://lesdevalideuses.org/ressources-2/accessibiliser-un-evenement-le-guide/</w:t>
        </w:r>
      </w:hyperlink>
      <w:r>
        <w:t xml:space="preserve"> </w:t>
      </w:r>
    </w:p>
  </w:footnote>
  <w:footnote w:id="14">
    <w:p w14:paraId="155CF347" w14:textId="77777777" w:rsidR="000E2D12" w:rsidRPr="00A8725B" w:rsidRDefault="000E2D12" w:rsidP="000E2D12">
      <w:pPr>
        <w:pStyle w:val="Notedebasdepage"/>
        <w:rPr>
          <w:lang w:val="en-US"/>
        </w:rPr>
      </w:pPr>
      <w:r>
        <w:rPr>
          <w:rStyle w:val="Appelnotedebasdep"/>
        </w:rPr>
        <w:footnoteRef/>
      </w:r>
      <w:r w:rsidRPr="00A8725B">
        <w:rPr>
          <w:lang w:val="en-US"/>
        </w:rPr>
        <w:t xml:space="preserve"> Byrne-Haber, S. (2021). </w:t>
      </w:r>
      <w:r w:rsidRPr="64E34295">
        <w:rPr>
          <w:i/>
          <w:iCs/>
          <w:lang w:val="en-US"/>
        </w:rPr>
        <w:t xml:space="preserve">Is an « identity model » replacing the charitable, medical, and social models of disability? </w:t>
      </w:r>
      <w:hyperlink r:id="rId11" w:history="1">
        <w:r w:rsidRPr="64E34295">
          <w:rPr>
            <w:rStyle w:val="Lienhypertexte"/>
            <w:sz w:val="16"/>
            <w:szCs w:val="16"/>
            <w:lang w:val="en-US"/>
          </w:rPr>
          <w:t>https://sheribyrnehaber.com/is-an-identity-model-replacing-the-charitable-medical-and-social-models-of-disability/</w:t>
        </w:r>
      </w:hyperlink>
      <w:r>
        <w:rPr>
          <w:lang w:val="en-US"/>
        </w:rPr>
        <w:t xml:space="preserve"> </w:t>
      </w:r>
    </w:p>
  </w:footnote>
  <w:footnote w:id="15">
    <w:p w14:paraId="29EDAB75" w14:textId="77777777" w:rsidR="000E2D12" w:rsidRDefault="000E2D12" w:rsidP="000E2D12">
      <w:pPr>
        <w:pStyle w:val="Notedebasdepage"/>
      </w:pPr>
      <w:r>
        <w:rPr>
          <w:rStyle w:val="Appelnotedebasdep"/>
        </w:rPr>
        <w:footnoteRef/>
      </w:r>
      <w:r>
        <w:t xml:space="preserve"> Drouvroy, S. (2022). </w:t>
      </w:r>
      <w:hyperlink r:id="rId12" w:history="1">
        <w:r w:rsidRPr="1240B189">
          <w:rPr>
            <w:rStyle w:val="Lienhypertexte"/>
            <w:sz w:val="16"/>
            <w:szCs w:val="16"/>
          </w:rPr>
          <w:t>https://x.com/cyberbaloo_/status/1531937873368338436?s=20&amp;t=bryI7RMbzJ-SO2xQ3xJEDw</w:t>
        </w:r>
      </w:hyperlink>
      <w:r>
        <w:t xml:space="preserve"> </w:t>
      </w:r>
    </w:p>
  </w:footnote>
  <w:footnote w:id="16">
    <w:p w14:paraId="1DD777FB" w14:textId="77777777" w:rsidR="000E2D12" w:rsidRDefault="000E2D12" w:rsidP="000E2D12">
      <w:pPr>
        <w:pStyle w:val="Notedebasdepage"/>
      </w:pPr>
      <w:r w:rsidRPr="41E2B674">
        <w:rPr>
          <w:rStyle w:val="Appelnotedebasdep"/>
        </w:rPr>
        <w:footnoteRef/>
      </w:r>
      <w:r>
        <w:t xml:space="preserve"> Stone, P. (2024). Et pourtant je suis vivant ! Ou pourquoi bannir le mot valide. </w:t>
      </w:r>
      <w:hyperlink r:id="rId13" w:history="1">
        <w:r w:rsidRPr="41E2B674">
          <w:rPr>
            <w:rStyle w:val="Lienhypertexte"/>
          </w:rPr>
          <w:t>https://www.justdifferent.eu/handicap/et-pourtant-je-suis-vivant-ou-pourquoi-bannir-le-mot-valide</w:t>
        </w:r>
      </w:hyperlink>
    </w:p>
  </w:footnote>
  <w:footnote w:id="17">
    <w:p w14:paraId="6E228ECE" w14:textId="77777777" w:rsidR="000E2D12" w:rsidRDefault="000E2D12" w:rsidP="000E2D12">
      <w:pPr>
        <w:pStyle w:val="Notedebasdepage"/>
      </w:pPr>
      <w:r>
        <w:rPr>
          <w:rStyle w:val="Appelnotedebasdep"/>
        </w:rPr>
        <w:footnoteRef/>
      </w:r>
      <w:r>
        <w:t xml:space="preserve"> </w:t>
      </w:r>
    </w:p>
  </w:footnote>
  <w:footnote w:id="18">
    <w:p w14:paraId="3ECD5EA3" w14:textId="77777777" w:rsidR="000E2D12" w:rsidRDefault="000E2D12" w:rsidP="000E2D12">
      <w:pPr>
        <w:pStyle w:val="Notedebasdepage"/>
      </w:pPr>
      <w:r>
        <w:rPr>
          <w:rStyle w:val="Appelnotedebasdep"/>
        </w:rPr>
        <w:footnoteRef/>
      </w:r>
      <w:r>
        <w:t xml:space="preserve"> Access42 (2020). </w:t>
      </w:r>
      <w:r w:rsidRPr="64E34295">
        <w:rPr>
          <w:i/>
          <w:iCs/>
        </w:rPr>
        <w:t>Accessibilité numérique : améliorons nos arguments.</w:t>
      </w:r>
      <w:r>
        <w:t xml:space="preserve"> </w:t>
      </w:r>
      <w:hyperlink r:id="rId14" w:history="1">
        <w:r w:rsidRPr="64E34295">
          <w:rPr>
            <w:rStyle w:val="Lienhypertexte"/>
            <w:sz w:val="16"/>
            <w:szCs w:val="16"/>
          </w:rPr>
          <w:t>https://access42.net/gaad-2020-accessibilite-numerique-ameliorons-nos-arguments/</w:t>
        </w:r>
      </w:hyperlink>
      <w:r>
        <w:t xml:space="preserve"> </w:t>
      </w:r>
    </w:p>
  </w:footnote>
  <w:footnote w:id="19">
    <w:p w14:paraId="67B458F9" w14:textId="4E7699E6" w:rsidR="000E2D12" w:rsidRDefault="000E2D12" w:rsidP="000E2D12">
      <w:pPr>
        <w:pStyle w:val="Notedebasdepage"/>
      </w:pPr>
      <w:r w:rsidRPr="5ACFE68B">
        <w:rPr>
          <w:rStyle w:val="Appelnotedebasdep"/>
        </w:rPr>
        <w:footnoteRef/>
      </w:r>
      <w:r>
        <w:t xml:space="preserve"> </w:t>
      </w:r>
      <w:r w:rsidRPr="5ACFE68B">
        <w:t>Lallemand, C., Gronier, G. (2015). Méthodes de design UX: 30 méthodes fondamentales pour concevoir et évaluer les systèmes interactifs. Éditions Eyrolles.</w:t>
      </w:r>
    </w:p>
  </w:footnote>
  <w:footnote w:id="20">
    <w:p w14:paraId="0CC6266C" w14:textId="77777777" w:rsidR="000E2D12" w:rsidRDefault="000E2D12" w:rsidP="000E2D12">
      <w:pPr>
        <w:pStyle w:val="Notedebasdepage"/>
      </w:pPr>
      <w:r w:rsidRPr="5ACFE68B">
        <w:rPr>
          <w:rStyle w:val="Appelnotedebasdep"/>
          <w:lang w:val="en-US"/>
        </w:rPr>
        <w:footnoteRef/>
      </w:r>
      <w:r w:rsidRPr="5ACFE68B">
        <w:rPr>
          <w:lang w:val="en-US"/>
        </w:rPr>
        <w:t xml:space="preserve"> Schrepp, M. (2015). User experience questionnaire handbook. </w:t>
      </w:r>
      <w:r w:rsidRPr="5ACFE68B">
        <w:rPr>
          <w:i/>
          <w:iCs/>
          <w:lang w:val="en-US"/>
        </w:rPr>
        <w:t>All you need to know to apply the UEQ successfully in your project</w:t>
      </w:r>
      <w:r w:rsidRPr="5ACFE68B">
        <w:rPr>
          <w:lang w:val="en-US"/>
        </w:rPr>
        <w:t>, 50-52.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1"/>
      <w:gridCol w:w="4679"/>
      <w:gridCol w:w="2996"/>
    </w:tblGrid>
    <w:tr w:rsidR="009C1610" w14:paraId="7DE0675F" w14:textId="77777777" w:rsidTr="00F82727">
      <w:trPr>
        <w:cantSplit/>
      </w:trPr>
      <w:tc>
        <w:tcPr>
          <w:tcW w:w="1381" w:type="dxa"/>
          <w:vAlign w:val="center"/>
        </w:tcPr>
        <w:p w14:paraId="4CD1016F" w14:textId="77777777" w:rsidR="003F1D0B" w:rsidRDefault="00A516DE" w:rsidP="00F82727">
          <w:r>
            <w:rPr>
              <w:noProof/>
            </w:rPr>
            <w:drawing>
              <wp:anchor distT="0" distB="0" distL="114300" distR="114300" simplePos="0" relativeHeight="251658240" behindDoc="0" locked="0" layoutInCell="1" allowOverlap="1" wp14:anchorId="19735225" wp14:editId="782304CB">
                <wp:simplePos x="0" y="0"/>
                <wp:positionH relativeFrom="margin">
                  <wp:posOffset>-59690</wp:posOffset>
                </wp:positionH>
                <wp:positionV relativeFrom="margin">
                  <wp:posOffset>148590</wp:posOffset>
                </wp:positionV>
                <wp:extent cx="723600" cy="525600"/>
                <wp:effectExtent l="0" t="0" r="635" b="0"/>
                <wp:wrapSquare wrapText="bothSides"/>
                <wp:docPr id="5" name="Image 5" descr="Access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42logobleu.png"/>
                        <pic:cNvPicPr/>
                      </pic:nvPicPr>
                      <pic:blipFill>
                        <a:blip r:embed="rId1">
                          <a:extLst>
                            <a:ext uri="{28A0092B-C50C-407E-A947-70E740481C1C}">
                              <a14:useLocalDpi xmlns:a14="http://schemas.microsoft.com/office/drawing/2010/main" val="0"/>
                            </a:ext>
                          </a:extLst>
                        </a:blip>
                        <a:stretch>
                          <a:fillRect/>
                        </a:stretch>
                      </pic:blipFill>
                      <pic:spPr>
                        <a:xfrm>
                          <a:off x="0" y="0"/>
                          <a:ext cx="723600" cy="525600"/>
                        </a:xfrm>
                        <a:prstGeom prst="rect">
                          <a:avLst/>
                        </a:prstGeom>
                      </pic:spPr>
                    </pic:pic>
                  </a:graphicData>
                </a:graphic>
                <wp14:sizeRelH relativeFrom="margin">
                  <wp14:pctWidth>0</wp14:pctWidth>
                </wp14:sizeRelH>
                <wp14:sizeRelV relativeFrom="margin">
                  <wp14:pctHeight>0</wp14:pctHeight>
                </wp14:sizeRelV>
              </wp:anchor>
            </w:drawing>
          </w:r>
        </w:p>
      </w:tc>
      <w:tc>
        <w:tcPr>
          <w:tcW w:w="4679" w:type="dxa"/>
          <w:vAlign w:val="center"/>
        </w:tcPr>
        <w:p w14:paraId="0930D280" w14:textId="77777777" w:rsidR="003F1D0B" w:rsidRPr="00D16835" w:rsidRDefault="00F82727" w:rsidP="00F82727">
          <w:pPr>
            <w:pStyle w:val="En-tte"/>
          </w:pPr>
          <w:r>
            <w:t>21 bis rue du Simplon,</w:t>
          </w:r>
          <w:r w:rsidR="003F1D0B" w:rsidRPr="00D16835">
            <w:br/>
            <w:t>75018 Paris</w:t>
          </w:r>
        </w:p>
      </w:tc>
      <w:tc>
        <w:tcPr>
          <w:tcW w:w="2996" w:type="dxa"/>
          <w:vAlign w:val="center"/>
        </w:tcPr>
        <w:p w14:paraId="31081D71" w14:textId="77777777" w:rsidR="00A01C3A" w:rsidRDefault="003F1D0B" w:rsidP="00F82727">
          <w:pPr>
            <w:pStyle w:val="Lienhypertexteen-tte"/>
          </w:pPr>
          <w:hyperlink r:id="rId2" w:history="1">
            <w:r w:rsidRPr="00A01C3A">
              <w:t>access42.net</w:t>
            </w:r>
          </w:hyperlink>
          <w:r w:rsidRPr="00A01C3A">
            <w:br/>
          </w:r>
          <w:hyperlink r:id="rId3" w:history="1">
            <w:r w:rsidRPr="00A01C3A">
              <w:t>bonjour@access42.net</w:t>
            </w:r>
          </w:hyperlink>
        </w:p>
        <w:p w14:paraId="1F5E4095" w14:textId="77777777" w:rsidR="003F1D0B" w:rsidRPr="00A01C3A" w:rsidRDefault="003F1D0B" w:rsidP="00F82727">
          <w:pPr>
            <w:pStyle w:val="En-ttedroite"/>
          </w:pPr>
          <w:r w:rsidRPr="00A01C3A">
            <w:t>09 72 45 06 14</w:t>
          </w:r>
        </w:p>
      </w:tc>
    </w:tr>
  </w:tbl>
  <w:p w14:paraId="24EAA026" w14:textId="77777777" w:rsidR="003F1D0B" w:rsidRPr="001100A8" w:rsidRDefault="003F1D0B" w:rsidP="005478DC"/>
  <w:p w14:paraId="580E965D" w14:textId="77777777" w:rsidR="00361807" w:rsidRDefault="0036180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1"/>
      <w:gridCol w:w="4679"/>
      <w:gridCol w:w="2996"/>
    </w:tblGrid>
    <w:tr w:rsidR="00F82727" w14:paraId="658C5C7E" w14:textId="77777777" w:rsidTr="00537EB3">
      <w:trPr>
        <w:cantSplit/>
      </w:trPr>
      <w:tc>
        <w:tcPr>
          <w:tcW w:w="1381" w:type="dxa"/>
          <w:vAlign w:val="center"/>
        </w:tcPr>
        <w:p w14:paraId="76895B2B" w14:textId="77777777" w:rsidR="00F82727" w:rsidRDefault="00F82727" w:rsidP="00F82727">
          <w:r>
            <w:rPr>
              <w:noProof/>
            </w:rPr>
            <w:drawing>
              <wp:anchor distT="0" distB="0" distL="114300" distR="114300" simplePos="0" relativeHeight="251658241" behindDoc="0" locked="0" layoutInCell="1" allowOverlap="1" wp14:anchorId="727BD827" wp14:editId="14204C7A">
                <wp:simplePos x="0" y="0"/>
                <wp:positionH relativeFrom="margin">
                  <wp:posOffset>-59690</wp:posOffset>
                </wp:positionH>
                <wp:positionV relativeFrom="margin">
                  <wp:posOffset>148590</wp:posOffset>
                </wp:positionV>
                <wp:extent cx="723600" cy="525600"/>
                <wp:effectExtent l="0" t="0" r="635" b="0"/>
                <wp:wrapSquare wrapText="bothSides"/>
                <wp:docPr id="1" name="Image 1" descr="Access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42logobleu.png"/>
                        <pic:cNvPicPr/>
                      </pic:nvPicPr>
                      <pic:blipFill>
                        <a:blip r:embed="rId1">
                          <a:extLst>
                            <a:ext uri="{28A0092B-C50C-407E-A947-70E740481C1C}">
                              <a14:useLocalDpi xmlns:a14="http://schemas.microsoft.com/office/drawing/2010/main" val="0"/>
                            </a:ext>
                          </a:extLst>
                        </a:blip>
                        <a:stretch>
                          <a:fillRect/>
                        </a:stretch>
                      </pic:blipFill>
                      <pic:spPr>
                        <a:xfrm>
                          <a:off x="0" y="0"/>
                          <a:ext cx="723600" cy="525600"/>
                        </a:xfrm>
                        <a:prstGeom prst="rect">
                          <a:avLst/>
                        </a:prstGeom>
                      </pic:spPr>
                    </pic:pic>
                  </a:graphicData>
                </a:graphic>
                <wp14:sizeRelH relativeFrom="margin">
                  <wp14:pctWidth>0</wp14:pctWidth>
                </wp14:sizeRelH>
                <wp14:sizeRelV relativeFrom="margin">
                  <wp14:pctHeight>0</wp14:pctHeight>
                </wp14:sizeRelV>
              </wp:anchor>
            </w:drawing>
          </w:r>
        </w:p>
      </w:tc>
      <w:tc>
        <w:tcPr>
          <w:tcW w:w="4679" w:type="dxa"/>
          <w:vAlign w:val="center"/>
        </w:tcPr>
        <w:p w14:paraId="0E7B6507" w14:textId="77777777" w:rsidR="00F82727" w:rsidRPr="00D16835" w:rsidRDefault="00F82727" w:rsidP="00F82727">
          <w:pPr>
            <w:pStyle w:val="En-tte"/>
          </w:pPr>
          <w:r>
            <w:t>21 bis rue du Simplon</w:t>
          </w:r>
          <w:r w:rsidRPr="00D16835">
            <w:br/>
            <w:t>75018 Paris</w:t>
          </w:r>
        </w:p>
      </w:tc>
      <w:tc>
        <w:tcPr>
          <w:tcW w:w="2996" w:type="dxa"/>
          <w:vAlign w:val="center"/>
        </w:tcPr>
        <w:p w14:paraId="2EDF804E" w14:textId="77777777" w:rsidR="00F82727" w:rsidRDefault="00F82727" w:rsidP="00F82727">
          <w:pPr>
            <w:pStyle w:val="Lienhypertexteen-tte"/>
          </w:pPr>
          <w:hyperlink r:id="rId2" w:history="1">
            <w:r w:rsidRPr="00A01C3A">
              <w:t>access42.net</w:t>
            </w:r>
          </w:hyperlink>
          <w:r w:rsidRPr="00A01C3A">
            <w:br/>
          </w:r>
          <w:hyperlink r:id="rId3" w:history="1">
            <w:r w:rsidRPr="00A01C3A">
              <w:t>bonjour@access42.net</w:t>
            </w:r>
          </w:hyperlink>
        </w:p>
        <w:p w14:paraId="4F4A041B" w14:textId="77777777" w:rsidR="00F82727" w:rsidRPr="00A01C3A" w:rsidRDefault="00F82727" w:rsidP="00F82727">
          <w:pPr>
            <w:pStyle w:val="En-ttedroite"/>
          </w:pPr>
          <w:r w:rsidRPr="00A01C3A">
            <w:t>09 72 45 06 14</w:t>
          </w:r>
        </w:p>
      </w:tc>
    </w:tr>
  </w:tbl>
  <w:p w14:paraId="54C54210" w14:textId="77777777" w:rsidR="00EA53EB" w:rsidRDefault="00EA53EB" w:rsidP="00EA53E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A80F52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65CE01D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CF30E622"/>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86086A8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C7104E5A"/>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E14E7F8"/>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6E6B502"/>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A27D1E"/>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9F0B814"/>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40102E5E"/>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50A1001"/>
    <w:multiLevelType w:val="hybridMultilevel"/>
    <w:tmpl w:val="4E7EAD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C2802F5"/>
    <w:multiLevelType w:val="hybridMultilevel"/>
    <w:tmpl w:val="BE62698A"/>
    <w:lvl w:ilvl="0" w:tplc="C1EE4EDC">
      <w:numFmt w:val="bullet"/>
      <w:lvlText w:val="-"/>
      <w:lvlJc w:val="left"/>
      <w:pPr>
        <w:ind w:left="720" w:hanging="360"/>
      </w:pPr>
      <w:rPr>
        <w:rFonts w:ascii="Verdana" w:eastAsia="Times New Roman" w:hAnsi="Verdana"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EEA5D09"/>
    <w:multiLevelType w:val="hybridMultilevel"/>
    <w:tmpl w:val="B2B209A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17C78E9"/>
    <w:multiLevelType w:val="multilevel"/>
    <w:tmpl w:val="382C7450"/>
    <w:numStyleLink w:val="Numrotationdestitres"/>
  </w:abstractNum>
  <w:abstractNum w:abstractNumId="14" w15:restartNumberingAfterBreak="0">
    <w:nsid w:val="15144BA8"/>
    <w:multiLevelType w:val="hybridMultilevel"/>
    <w:tmpl w:val="71ECD3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715248A"/>
    <w:multiLevelType w:val="hybridMultilevel"/>
    <w:tmpl w:val="076ACF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91A388A"/>
    <w:multiLevelType w:val="hybridMultilevel"/>
    <w:tmpl w:val="7D3E23E2"/>
    <w:lvl w:ilvl="0" w:tplc="040C0001">
      <w:start w:val="1"/>
      <w:numFmt w:val="bullet"/>
      <w:lvlText w:val=""/>
      <w:lvlJc w:val="left"/>
      <w:pPr>
        <w:ind w:left="927" w:hanging="360"/>
      </w:pPr>
      <w:rPr>
        <w:rFonts w:ascii="Symbol" w:hAnsi="Symbol"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7" w15:restartNumberingAfterBreak="0">
    <w:nsid w:val="1A7A7EDC"/>
    <w:multiLevelType w:val="hybridMultilevel"/>
    <w:tmpl w:val="47445E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ABF44BD"/>
    <w:multiLevelType w:val="hybridMultilevel"/>
    <w:tmpl w:val="A9A24D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BEC6C15"/>
    <w:multiLevelType w:val="hybridMultilevel"/>
    <w:tmpl w:val="83C816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1EDE6A15"/>
    <w:multiLevelType w:val="hybridMultilevel"/>
    <w:tmpl w:val="6D168572"/>
    <w:lvl w:ilvl="0" w:tplc="07D02446">
      <w:start w:val="1"/>
      <w:numFmt w:val="bullet"/>
      <w:pStyle w:val="Encartliste"/>
      <w:lvlText w:val=""/>
      <w:lvlJc w:val="left"/>
      <w:pPr>
        <w:ind w:left="72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15:restartNumberingAfterBreak="0">
    <w:nsid w:val="21033964"/>
    <w:multiLevelType w:val="hybridMultilevel"/>
    <w:tmpl w:val="DCE4D6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2140489"/>
    <w:multiLevelType w:val="multilevel"/>
    <w:tmpl w:val="BD642D04"/>
    <w:lvl w:ilvl="0">
      <w:start w:val="1"/>
      <w:numFmt w:val="decimal"/>
      <w:suff w:val="space"/>
      <w:lvlText w:val="%1."/>
      <w:lvlJc w:val="left"/>
      <w:pPr>
        <w:ind w:left="357" w:hanging="357"/>
      </w:pPr>
      <w:rPr>
        <w:rFonts w:hint="default"/>
      </w:rPr>
    </w:lvl>
    <w:lvl w:ilvl="1">
      <w:start w:val="1"/>
      <w:numFmt w:val="decimal"/>
      <w:suff w:val="space"/>
      <w:lvlText w:val="%1.%2."/>
      <w:lvlJc w:val="left"/>
      <w:pPr>
        <w:ind w:left="624" w:hanging="624"/>
      </w:pPr>
      <w:rPr>
        <w:rFonts w:hint="default"/>
      </w:rPr>
    </w:lvl>
    <w:lvl w:ilvl="2">
      <w:start w:val="1"/>
      <w:numFmt w:val="decimal"/>
      <w:suff w:val="space"/>
      <w:lvlText w:val="%1.%2.%3."/>
      <w:lvlJc w:val="left"/>
      <w:pPr>
        <w:ind w:left="794" w:hanging="794"/>
      </w:pPr>
      <w:rPr>
        <w:rFonts w:hint="default"/>
      </w:rPr>
    </w:lvl>
    <w:lvl w:ilvl="3">
      <w:start w:val="1"/>
      <w:numFmt w:val="none"/>
      <w:lvlText w:val=""/>
      <w:lvlJc w:val="left"/>
      <w:pPr>
        <w:ind w:left="170" w:hanging="170"/>
      </w:pPr>
      <w:rPr>
        <w:rFonts w:hint="default"/>
      </w:rPr>
    </w:lvl>
    <w:lvl w:ilvl="4">
      <w:start w:val="1"/>
      <w:numFmt w:val="none"/>
      <w:lvlText w:val=""/>
      <w:lvlJc w:val="left"/>
      <w:pPr>
        <w:ind w:left="340" w:hanging="340"/>
      </w:pPr>
      <w:rPr>
        <w:rFonts w:hint="default"/>
      </w:rPr>
    </w:lvl>
    <w:lvl w:ilvl="5">
      <w:start w:val="1"/>
      <w:numFmt w:val="none"/>
      <w:lvlText w:val=""/>
      <w:lvlJc w:val="left"/>
      <w:pPr>
        <w:ind w:left="510" w:hanging="510"/>
      </w:pPr>
      <w:rPr>
        <w:rFonts w:hint="default"/>
      </w:rPr>
    </w:lvl>
    <w:lvl w:ilvl="6">
      <w:start w:val="1"/>
      <w:numFmt w:val="none"/>
      <w:lvlText w:val=""/>
      <w:lvlJc w:val="left"/>
      <w:pPr>
        <w:ind w:left="680" w:hanging="680"/>
      </w:pPr>
      <w:rPr>
        <w:rFonts w:hint="default"/>
      </w:rPr>
    </w:lvl>
    <w:lvl w:ilvl="7">
      <w:start w:val="1"/>
      <w:numFmt w:val="none"/>
      <w:lvlText w:val=""/>
      <w:lvlJc w:val="left"/>
      <w:pPr>
        <w:ind w:left="851" w:hanging="851"/>
      </w:pPr>
      <w:rPr>
        <w:rFonts w:hint="default"/>
      </w:rPr>
    </w:lvl>
    <w:lvl w:ilvl="8">
      <w:start w:val="1"/>
      <w:numFmt w:val="none"/>
      <w:lvlText w:val=""/>
      <w:lvlJc w:val="left"/>
      <w:pPr>
        <w:ind w:left="1021" w:hanging="1021"/>
      </w:pPr>
      <w:rPr>
        <w:rFonts w:hint="default"/>
      </w:rPr>
    </w:lvl>
  </w:abstractNum>
  <w:abstractNum w:abstractNumId="23" w15:restartNumberingAfterBreak="0">
    <w:nsid w:val="28C83B84"/>
    <w:multiLevelType w:val="hybridMultilevel"/>
    <w:tmpl w:val="D5EC48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29EA22FD"/>
    <w:multiLevelType w:val="hybridMultilevel"/>
    <w:tmpl w:val="F7449ECC"/>
    <w:lvl w:ilvl="0" w:tplc="040C0001">
      <w:start w:val="1"/>
      <w:numFmt w:val="bullet"/>
      <w:lvlText w:val=""/>
      <w:lvlJc w:val="left"/>
      <w:pPr>
        <w:ind w:left="833" w:hanging="360"/>
      </w:pPr>
      <w:rPr>
        <w:rFonts w:ascii="Symbol" w:hAnsi="Symbol" w:hint="default"/>
      </w:rPr>
    </w:lvl>
    <w:lvl w:ilvl="1" w:tplc="040C0003" w:tentative="1">
      <w:start w:val="1"/>
      <w:numFmt w:val="bullet"/>
      <w:lvlText w:val="o"/>
      <w:lvlJc w:val="left"/>
      <w:pPr>
        <w:ind w:left="1553" w:hanging="360"/>
      </w:pPr>
      <w:rPr>
        <w:rFonts w:ascii="Courier New" w:hAnsi="Courier New" w:cs="Courier New" w:hint="default"/>
      </w:rPr>
    </w:lvl>
    <w:lvl w:ilvl="2" w:tplc="040C0005" w:tentative="1">
      <w:start w:val="1"/>
      <w:numFmt w:val="bullet"/>
      <w:lvlText w:val=""/>
      <w:lvlJc w:val="left"/>
      <w:pPr>
        <w:ind w:left="2273" w:hanging="360"/>
      </w:pPr>
      <w:rPr>
        <w:rFonts w:ascii="Wingdings" w:hAnsi="Wingdings" w:hint="default"/>
      </w:rPr>
    </w:lvl>
    <w:lvl w:ilvl="3" w:tplc="040C0001" w:tentative="1">
      <w:start w:val="1"/>
      <w:numFmt w:val="bullet"/>
      <w:lvlText w:val=""/>
      <w:lvlJc w:val="left"/>
      <w:pPr>
        <w:ind w:left="2993" w:hanging="360"/>
      </w:pPr>
      <w:rPr>
        <w:rFonts w:ascii="Symbol" w:hAnsi="Symbol" w:hint="default"/>
      </w:rPr>
    </w:lvl>
    <w:lvl w:ilvl="4" w:tplc="040C0003" w:tentative="1">
      <w:start w:val="1"/>
      <w:numFmt w:val="bullet"/>
      <w:lvlText w:val="o"/>
      <w:lvlJc w:val="left"/>
      <w:pPr>
        <w:ind w:left="3713" w:hanging="360"/>
      </w:pPr>
      <w:rPr>
        <w:rFonts w:ascii="Courier New" w:hAnsi="Courier New" w:cs="Courier New" w:hint="default"/>
      </w:rPr>
    </w:lvl>
    <w:lvl w:ilvl="5" w:tplc="040C0005" w:tentative="1">
      <w:start w:val="1"/>
      <w:numFmt w:val="bullet"/>
      <w:lvlText w:val=""/>
      <w:lvlJc w:val="left"/>
      <w:pPr>
        <w:ind w:left="4433" w:hanging="360"/>
      </w:pPr>
      <w:rPr>
        <w:rFonts w:ascii="Wingdings" w:hAnsi="Wingdings" w:hint="default"/>
      </w:rPr>
    </w:lvl>
    <w:lvl w:ilvl="6" w:tplc="040C0001" w:tentative="1">
      <w:start w:val="1"/>
      <w:numFmt w:val="bullet"/>
      <w:lvlText w:val=""/>
      <w:lvlJc w:val="left"/>
      <w:pPr>
        <w:ind w:left="5153" w:hanging="360"/>
      </w:pPr>
      <w:rPr>
        <w:rFonts w:ascii="Symbol" w:hAnsi="Symbol" w:hint="default"/>
      </w:rPr>
    </w:lvl>
    <w:lvl w:ilvl="7" w:tplc="040C0003" w:tentative="1">
      <w:start w:val="1"/>
      <w:numFmt w:val="bullet"/>
      <w:lvlText w:val="o"/>
      <w:lvlJc w:val="left"/>
      <w:pPr>
        <w:ind w:left="5873" w:hanging="360"/>
      </w:pPr>
      <w:rPr>
        <w:rFonts w:ascii="Courier New" w:hAnsi="Courier New" w:cs="Courier New" w:hint="default"/>
      </w:rPr>
    </w:lvl>
    <w:lvl w:ilvl="8" w:tplc="040C0005" w:tentative="1">
      <w:start w:val="1"/>
      <w:numFmt w:val="bullet"/>
      <w:lvlText w:val=""/>
      <w:lvlJc w:val="left"/>
      <w:pPr>
        <w:ind w:left="6593" w:hanging="360"/>
      </w:pPr>
      <w:rPr>
        <w:rFonts w:ascii="Wingdings" w:hAnsi="Wingdings" w:hint="default"/>
      </w:rPr>
    </w:lvl>
  </w:abstractNum>
  <w:abstractNum w:abstractNumId="25" w15:restartNumberingAfterBreak="0">
    <w:nsid w:val="33120397"/>
    <w:multiLevelType w:val="multilevel"/>
    <w:tmpl w:val="DED4F9AE"/>
    <w:styleLink w:val="A42-puceniveau1-002"/>
    <w:lvl w:ilvl="0">
      <w:numFmt w:val="bullet"/>
      <w:lvlText w:val="&lt;"/>
      <w:lvlJc w:val="left"/>
      <w:pPr>
        <w:ind w:left="6" w:firstLine="277"/>
      </w:pPr>
      <w:rPr>
        <w:rFonts w:ascii="Ubuntu" w:hAnsi="Ubuntu"/>
        <w:b/>
        <w:color w:val="DD3300"/>
        <w:sz w:val="21"/>
        <w:shd w:val="clear" w:color="auto" w:fill="auto"/>
      </w:rPr>
    </w:lvl>
    <w:lvl w:ilvl="1">
      <w:numFmt w:val="bullet"/>
      <w:lvlText w:val="&lt;"/>
      <w:lvlJc w:val="left"/>
      <w:pPr>
        <w:ind w:left="6" w:firstLine="277"/>
      </w:pPr>
      <w:rPr>
        <w:rFonts w:ascii="Ubuntu" w:hAnsi="Ubuntu"/>
        <w:b/>
        <w:color w:val="DD3300"/>
        <w:sz w:val="21"/>
        <w:shd w:val="clear" w:color="auto" w:fill="auto"/>
      </w:rPr>
    </w:lvl>
    <w:lvl w:ilvl="2">
      <w:numFmt w:val="bullet"/>
      <w:lvlText w:val="&lt;"/>
      <w:lvlJc w:val="left"/>
      <w:pPr>
        <w:ind w:left="6" w:firstLine="277"/>
      </w:pPr>
      <w:rPr>
        <w:rFonts w:ascii="Ubuntu" w:hAnsi="Ubuntu"/>
        <w:b/>
        <w:color w:val="DD3300"/>
        <w:sz w:val="21"/>
        <w:shd w:val="clear" w:color="auto" w:fill="auto"/>
      </w:rPr>
    </w:lvl>
    <w:lvl w:ilvl="3">
      <w:numFmt w:val="bullet"/>
      <w:lvlText w:val="&lt;"/>
      <w:lvlJc w:val="left"/>
      <w:pPr>
        <w:ind w:left="6" w:firstLine="277"/>
      </w:pPr>
      <w:rPr>
        <w:rFonts w:ascii="Ubuntu" w:hAnsi="Ubuntu"/>
        <w:b/>
        <w:color w:val="DD3300"/>
        <w:sz w:val="21"/>
        <w:shd w:val="clear" w:color="auto" w:fill="auto"/>
      </w:rPr>
    </w:lvl>
    <w:lvl w:ilvl="4">
      <w:numFmt w:val="bullet"/>
      <w:lvlText w:val="&lt;"/>
      <w:lvlJc w:val="left"/>
      <w:pPr>
        <w:ind w:left="6" w:firstLine="277"/>
      </w:pPr>
      <w:rPr>
        <w:rFonts w:ascii="Ubuntu" w:hAnsi="Ubuntu"/>
        <w:b/>
        <w:color w:val="DD3300"/>
        <w:sz w:val="21"/>
        <w:shd w:val="clear" w:color="auto" w:fill="auto"/>
      </w:rPr>
    </w:lvl>
    <w:lvl w:ilvl="5">
      <w:numFmt w:val="bullet"/>
      <w:lvlText w:val="&lt;"/>
      <w:lvlJc w:val="left"/>
      <w:pPr>
        <w:ind w:left="6" w:firstLine="277"/>
      </w:pPr>
      <w:rPr>
        <w:rFonts w:ascii="Ubuntu" w:hAnsi="Ubuntu"/>
        <w:b/>
        <w:color w:val="DD3300"/>
        <w:sz w:val="21"/>
        <w:shd w:val="clear" w:color="auto" w:fill="auto"/>
      </w:rPr>
    </w:lvl>
    <w:lvl w:ilvl="6">
      <w:numFmt w:val="bullet"/>
      <w:lvlText w:val="&lt;"/>
      <w:lvlJc w:val="left"/>
      <w:pPr>
        <w:ind w:left="6" w:firstLine="277"/>
      </w:pPr>
      <w:rPr>
        <w:rFonts w:ascii="Ubuntu" w:hAnsi="Ubuntu"/>
        <w:b/>
        <w:color w:val="DD3300"/>
        <w:sz w:val="21"/>
        <w:shd w:val="clear" w:color="auto" w:fill="auto"/>
      </w:rPr>
    </w:lvl>
    <w:lvl w:ilvl="7">
      <w:numFmt w:val="bullet"/>
      <w:lvlText w:val="&lt;"/>
      <w:lvlJc w:val="left"/>
      <w:pPr>
        <w:ind w:left="6" w:firstLine="277"/>
      </w:pPr>
      <w:rPr>
        <w:rFonts w:ascii="Ubuntu" w:hAnsi="Ubuntu"/>
        <w:b/>
        <w:color w:val="DD3300"/>
        <w:sz w:val="21"/>
        <w:shd w:val="clear" w:color="auto" w:fill="auto"/>
      </w:rPr>
    </w:lvl>
    <w:lvl w:ilvl="8">
      <w:numFmt w:val="bullet"/>
      <w:lvlText w:val="&lt;"/>
      <w:lvlJc w:val="left"/>
      <w:pPr>
        <w:ind w:left="6" w:firstLine="277"/>
      </w:pPr>
      <w:rPr>
        <w:rFonts w:ascii="Ubuntu" w:hAnsi="Ubuntu"/>
        <w:b/>
        <w:color w:val="DD3300"/>
        <w:sz w:val="21"/>
        <w:shd w:val="clear" w:color="auto" w:fill="auto"/>
      </w:rPr>
    </w:lvl>
  </w:abstractNum>
  <w:abstractNum w:abstractNumId="26" w15:restartNumberingAfterBreak="0">
    <w:nsid w:val="35B474C5"/>
    <w:multiLevelType w:val="hybridMultilevel"/>
    <w:tmpl w:val="0B5887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B130C90"/>
    <w:multiLevelType w:val="hybridMultilevel"/>
    <w:tmpl w:val="4A0E50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17450BE"/>
    <w:multiLevelType w:val="hybridMultilevel"/>
    <w:tmpl w:val="C07015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2836953"/>
    <w:multiLevelType w:val="multilevel"/>
    <w:tmpl w:val="382C7450"/>
    <w:numStyleLink w:val="Numrotationdestitres"/>
  </w:abstractNum>
  <w:abstractNum w:abstractNumId="30" w15:restartNumberingAfterBreak="0">
    <w:nsid w:val="44541E77"/>
    <w:multiLevelType w:val="multilevel"/>
    <w:tmpl w:val="382C7450"/>
    <w:styleLink w:val="Numrotationdestitres"/>
    <w:lvl w:ilvl="0">
      <w:start w:val="1"/>
      <w:numFmt w:val="decimal"/>
      <w:suff w:val="space"/>
      <w:lvlText w:val="%1."/>
      <w:lvlJc w:val="left"/>
      <w:pPr>
        <w:ind w:left="357" w:hanging="357"/>
      </w:pPr>
      <w:rPr>
        <w:rFonts w:hint="default"/>
      </w:rPr>
    </w:lvl>
    <w:lvl w:ilvl="1">
      <w:start w:val="1"/>
      <w:numFmt w:val="decimal"/>
      <w:suff w:val="space"/>
      <w:lvlText w:val="%1.%2."/>
      <w:lvlJc w:val="left"/>
      <w:pPr>
        <w:ind w:left="624" w:hanging="624"/>
      </w:pPr>
      <w:rPr>
        <w:rFonts w:hint="default"/>
      </w:rPr>
    </w:lvl>
    <w:lvl w:ilvl="2">
      <w:start w:val="1"/>
      <w:numFmt w:val="decimal"/>
      <w:suff w:val="space"/>
      <w:lvlText w:val="%1.%2.%3."/>
      <w:lvlJc w:val="left"/>
      <w:pPr>
        <w:ind w:left="794" w:hanging="794"/>
      </w:pPr>
      <w:rPr>
        <w:rFonts w:hint="default"/>
      </w:rPr>
    </w:lvl>
    <w:lvl w:ilvl="3">
      <w:start w:val="1"/>
      <w:numFmt w:val="none"/>
      <w:lvlText w:val=""/>
      <w:lvlJc w:val="left"/>
      <w:pPr>
        <w:ind w:left="113" w:hanging="113"/>
      </w:pPr>
      <w:rPr>
        <w:rFonts w:hint="default"/>
      </w:rPr>
    </w:lvl>
    <w:lvl w:ilvl="4">
      <w:start w:val="1"/>
      <w:numFmt w:val="none"/>
      <w:lvlText w:val=""/>
      <w:lvlJc w:val="left"/>
      <w:pPr>
        <w:ind w:left="227" w:hanging="227"/>
      </w:pPr>
      <w:rPr>
        <w:rFonts w:hint="default"/>
      </w:rPr>
    </w:lvl>
    <w:lvl w:ilvl="5">
      <w:start w:val="1"/>
      <w:numFmt w:val="none"/>
      <w:lvlText w:val=""/>
      <w:lvlJc w:val="left"/>
      <w:pPr>
        <w:ind w:left="340" w:hanging="340"/>
      </w:pPr>
      <w:rPr>
        <w:rFonts w:hint="default"/>
      </w:rPr>
    </w:lvl>
    <w:lvl w:ilvl="6">
      <w:start w:val="1"/>
      <w:numFmt w:val="none"/>
      <w:lvlText w:val=""/>
      <w:lvlJc w:val="left"/>
      <w:pPr>
        <w:ind w:left="454" w:hanging="454"/>
      </w:pPr>
      <w:rPr>
        <w:rFonts w:hint="default"/>
      </w:rPr>
    </w:lvl>
    <w:lvl w:ilvl="7">
      <w:start w:val="1"/>
      <w:numFmt w:val="none"/>
      <w:lvlText w:val=""/>
      <w:lvlJc w:val="left"/>
      <w:pPr>
        <w:ind w:left="567" w:hanging="567"/>
      </w:pPr>
      <w:rPr>
        <w:rFonts w:hint="default"/>
      </w:rPr>
    </w:lvl>
    <w:lvl w:ilvl="8">
      <w:start w:val="1"/>
      <w:numFmt w:val="none"/>
      <w:lvlText w:val=""/>
      <w:lvlJc w:val="left"/>
      <w:pPr>
        <w:ind w:left="680" w:hanging="680"/>
      </w:pPr>
      <w:rPr>
        <w:rFonts w:hint="default"/>
      </w:rPr>
    </w:lvl>
  </w:abstractNum>
  <w:abstractNum w:abstractNumId="31" w15:restartNumberingAfterBreak="0">
    <w:nsid w:val="445C2FE4"/>
    <w:multiLevelType w:val="hybridMultilevel"/>
    <w:tmpl w:val="18BC2A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86E660F"/>
    <w:multiLevelType w:val="hybridMultilevel"/>
    <w:tmpl w:val="563E106C"/>
    <w:lvl w:ilvl="0" w:tplc="17BCDF56">
      <w:start w:val="1"/>
      <w:numFmt w:val="bullet"/>
      <w:pStyle w:val="Paragraphedeliste"/>
      <w:lvlText w:val=""/>
      <w:lvlJc w:val="left"/>
      <w:pPr>
        <w:ind w:left="1440" w:hanging="360"/>
      </w:pPr>
      <w:rPr>
        <w:rFonts w:ascii="Wingdings" w:hAnsi="Wingdings"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3" w15:restartNumberingAfterBreak="0">
    <w:nsid w:val="4CF813E1"/>
    <w:multiLevelType w:val="hybridMultilevel"/>
    <w:tmpl w:val="B92678A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6000C78"/>
    <w:multiLevelType w:val="hybridMultilevel"/>
    <w:tmpl w:val="364665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86441F4"/>
    <w:multiLevelType w:val="hybridMultilevel"/>
    <w:tmpl w:val="62468A6E"/>
    <w:lvl w:ilvl="0" w:tplc="040C0001">
      <w:start w:val="1"/>
      <w:numFmt w:val="bullet"/>
      <w:lvlText w:val=""/>
      <w:lvlJc w:val="left"/>
      <w:pPr>
        <w:ind w:left="927" w:hanging="360"/>
      </w:pPr>
      <w:rPr>
        <w:rFonts w:ascii="Symbol" w:hAnsi="Symbol"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36" w15:restartNumberingAfterBreak="0">
    <w:nsid w:val="5B3E18AB"/>
    <w:multiLevelType w:val="hybridMultilevel"/>
    <w:tmpl w:val="E74286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5D6E0F42"/>
    <w:multiLevelType w:val="hybridMultilevel"/>
    <w:tmpl w:val="EF7053B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5FEE0A00"/>
    <w:multiLevelType w:val="hybridMultilevel"/>
    <w:tmpl w:val="A6AA6B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4072311"/>
    <w:multiLevelType w:val="hybridMultilevel"/>
    <w:tmpl w:val="02467F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6784F18"/>
    <w:multiLevelType w:val="hybridMultilevel"/>
    <w:tmpl w:val="01E62ACA"/>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1" w15:restartNumberingAfterBreak="0">
    <w:nsid w:val="6EC54820"/>
    <w:multiLevelType w:val="hybridMultilevel"/>
    <w:tmpl w:val="80BC37C4"/>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2" w15:restartNumberingAfterBreak="0">
    <w:nsid w:val="714F23CE"/>
    <w:multiLevelType w:val="multilevel"/>
    <w:tmpl w:val="382C7450"/>
    <w:numStyleLink w:val="Numrotationdestitres"/>
  </w:abstractNum>
  <w:abstractNum w:abstractNumId="43" w15:restartNumberingAfterBreak="0">
    <w:nsid w:val="71550E45"/>
    <w:multiLevelType w:val="multilevel"/>
    <w:tmpl w:val="3C1C6706"/>
    <w:lvl w:ilvl="0">
      <w:start w:val="1"/>
      <w:numFmt w:val="decimal"/>
      <w:pStyle w:val="En-ttedetabledesmatires"/>
      <w:suff w:val="space"/>
      <w:lvlText w:val="%1."/>
      <w:lvlJc w:val="left"/>
      <w:pPr>
        <w:ind w:left="357" w:hanging="357"/>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none"/>
      <w:lvlText w:val=""/>
      <w:lvlJc w:val="left"/>
      <w:pPr>
        <w:ind w:left="907" w:hanging="907"/>
      </w:pPr>
      <w:rPr>
        <w:rFonts w:hint="default"/>
      </w:rPr>
    </w:lvl>
    <w:lvl w:ilvl="4">
      <w:start w:val="1"/>
      <w:numFmt w:val="none"/>
      <w:lvlText w:val=""/>
      <w:lvlJc w:val="left"/>
      <w:pPr>
        <w:ind w:left="1077" w:hanging="1077"/>
      </w:pPr>
      <w:rPr>
        <w:rFonts w:hint="default"/>
      </w:rPr>
    </w:lvl>
    <w:lvl w:ilvl="5">
      <w:start w:val="1"/>
      <w:numFmt w:val="none"/>
      <w:lvlText w:val=""/>
      <w:lvlJc w:val="left"/>
      <w:pPr>
        <w:ind w:left="1247" w:hanging="1247"/>
      </w:pPr>
      <w:rPr>
        <w:rFonts w:hint="default"/>
      </w:rPr>
    </w:lvl>
    <w:lvl w:ilvl="6">
      <w:start w:val="1"/>
      <w:numFmt w:val="none"/>
      <w:lvlText w:val=""/>
      <w:lvlJc w:val="left"/>
      <w:pPr>
        <w:ind w:left="1418" w:hanging="1418"/>
      </w:pPr>
      <w:rPr>
        <w:rFonts w:hint="default"/>
      </w:rPr>
    </w:lvl>
    <w:lvl w:ilvl="7">
      <w:start w:val="1"/>
      <w:numFmt w:val="none"/>
      <w:lvlText w:val=""/>
      <w:lvlJc w:val="left"/>
      <w:pPr>
        <w:ind w:left="1588" w:hanging="1588"/>
      </w:pPr>
      <w:rPr>
        <w:rFonts w:hint="default"/>
      </w:rPr>
    </w:lvl>
    <w:lvl w:ilvl="8">
      <w:start w:val="1"/>
      <w:numFmt w:val="none"/>
      <w:lvlText w:val=""/>
      <w:lvlJc w:val="left"/>
      <w:pPr>
        <w:ind w:left="1758" w:hanging="1758"/>
      </w:pPr>
      <w:rPr>
        <w:rFonts w:hint="default"/>
      </w:rPr>
    </w:lvl>
  </w:abstractNum>
  <w:abstractNum w:abstractNumId="44" w15:restartNumberingAfterBreak="0">
    <w:nsid w:val="7E460A8B"/>
    <w:multiLevelType w:val="hybridMultilevel"/>
    <w:tmpl w:val="6DD27AC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3597488">
    <w:abstractNumId w:val="25"/>
  </w:num>
  <w:num w:numId="2" w16cid:durableId="1338465727">
    <w:abstractNumId w:val="4"/>
  </w:num>
  <w:num w:numId="3" w16cid:durableId="1467818996">
    <w:abstractNumId w:val="5"/>
  </w:num>
  <w:num w:numId="4" w16cid:durableId="445779558">
    <w:abstractNumId w:val="6"/>
  </w:num>
  <w:num w:numId="5" w16cid:durableId="26151756">
    <w:abstractNumId w:val="7"/>
  </w:num>
  <w:num w:numId="6" w16cid:durableId="417217633">
    <w:abstractNumId w:val="9"/>
  </w:num>
  <w:num w:numId="7" w16cid:durableId="231425075">
    <w:abstractNumId w:val="0"/>
  </w:num>
  <w:num w:numId="8" w16cid:durableId="1979068964">
    <w:abstractNumId w:val="1"/>
  </w:num>
  <w:num w:numId="9" w16cid:durableId="1613825292">
    <w:abstractNumId w:val="2"/>
  </w:num>
  <w:num w:numId="10" w16cid:durableId="1817911646">
    <w:abstractNumId w:val="3"/>
  </w:num>
  <w:num w:numId="11" w16cid:durableId="575168706">
    <w:abstractNumId w:val="8"/>
  </w:num>
  <w:num w:numId="12" w16cid:durableId="788284559">
    <w:abstractNumId w:val="32"/>
  </w:num>
  <w:num w:numId="13" w16cid:durableId="855075010">
    <w:abstractNumId w:val="19"/>
  </w:num>
  <w:num w:numId="14" w16cid:durableId="1327318315">
    <w:abstractNumId w:val="10"/>
  </w:num>
  <w:num w:numId="15" w16cid:durableId="495732974">
    <w:abstractNumId w:val="44"/>
  </w:num>
  <w:num w:numId="16" w16cid:durableId="474183033">
    <w:abstractNumId w:val="20"/>
  </w:num>
  <w:num w:numId="17" w16cid:durableId="1643344748">
    <w:abstractNumId w:val="42"/>
  </w:num>
  <w:num w:numId="18" w16cid:durableId="849610004">
    <w:abstractNumId w:val="43"/>
  </w:num>
  <w:num w:numId="19" w16cid:durableId="226262951">
    <w:abstractNumId w:val="22"/>
  </w:num>
  <w:num w:numId="20" w16cid:durableId="113524391">
    <w:abstractNumId w:val="29"/>
  </w:num>
  <w:num w:numId="21" w16cid:durableId="1946838258">
    <w:abstractNumId w:val="30"/>
  </w:num>
  <w:num w:numId="22" w16cid:durableId="1798374698">
    <w:abstractNumId w:val="13"/>
  </w:num>
  <w:num w:numId="23" w16cid:durableId="1195462412">
    <w:abstractNumId w:val="27"/>
  </w:num>
  <w:num w:numId="24" w16cid:durableId="687148114">
    <w:abstractNumId w:val="11"/>
  </w:num>
  <w:num w:numId="25" w16cid:durableId="793523031">
    <w:abstractNumId w:val="35"/>
  </w:num>
  <w:num w:numId="26" w16cid:durableId="1106584790">
    <w:abstractNumId w:val="41"/>
  </w:num>
  <w:num w:numId="27" w16cid:durableId="253518958">
    <w:abstractNumId w:val="16"/>
  </w:num>
  <w:num w:numId="28" w16cid:durableId="213276101">
    <w:abstractNumId w:val="28"/>
  </w:num>
  <w:num w:numId="29" w16cid:durableId="1958414633">
    <w:abstractNumId w:val="23"/>
  </w:num>
  <w:num w:numId="30" w16cid:durableId="171994378">
    <w:abstractNumId w:val="34"/>
  </w:num>
  <w:num w:numId="31" w16cid:durableId="2006323021">
    <w:abstractNumId w:val="24"/>
  </w:num>
  <w:num w:numId="32" w16cid:durableId="1180974521">
    <w:abstractNumId w:val="26"/>
  </w:num>
  <w:num w:numId="33" w16cid:durableId="1634096779">
    <w:abstractNumId w:val="36"/>
  </w:num>
  <w:num w:numId="34" w16cid:durableId="1762098319">
    <w:abstractNumId w:val="31"/>
  </w:num>
  <w:num w:numId="35" w16cid:durableId="505247460">
    <w:abstractNumId w:val="37"/>
  </w:num>
  <w:num w:numId="36" w16cid:durableId="1856650456">
    <w:abstractNumId w:val="40"/>
  </w:num>
  <w:num w:numId="37" w16cid:durableId="1068190751">
    <w:abstractNumId w:val="12"/>
  </w:num>
  <w:num w:numId="38" w16cid:durableId="2054884226">
    <w:abstractNumId w:val="17"/>
  </w:num>
  <w:num w:numId="39" w16cid:durableId="2045591187">
    <w:abstractNumId w:val="38"/>
  </w:num>
  <w:num w:numId="40" w16cid:durableId="675226067">
    <w:abstractNumId w:val="33"/>
  </w:num>
  <w:num w:numId="41" w16cid:durableId="185490535">
    <w:abstractNumId w:val="15"/>
  </w:num>
  <w:num w:numId="42" w16cid:durableId="1680422758">
    <w:abstractNumId w:val="14"/>
  </w:num>
  <w:num w:numId="43" w16cid:durableId="937758794">
    <w:abstractNumId w:val="21"/>
  </w:num>
  <w:num w:numId="44" w16cid:durableId="644163371">
    <w:abstractNumId w:val="39"/>
  </w:num>
  <w:num w:numId="45" w16cid:durableId="22422517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removePersonalInformation/>
  <w:removeDateAndTime/>
  <w:activeWritingStyle w:appName="MSWord" w:lang="en-US" w:vendorID="64" w:dllVersion="0" w:nlCheck="1" w:checkStyle="0"/>
  <w:activeWritingStyle w:appName="MSWord" w:lang="fr-FR" w:vendorID="64" w:dllVersion="0" w:nlCheck="1" w:checkStyle="0"/>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D12"/>
    <w:rsid w:val="00000E80"/>
    <w:rsid w:val="00001003"/>
    <w:rsid w:val="000013FB"/>
    <w:rsid w:val="00003F14"/>
    <w:rsid w:val="00010E94"/>
    <w:rsid w:val="00011DD0"/>
    <w:rsid w:val="00013801"/>
    <w:rsid w:val="00017F13"/>
    <w:rsid w:val="00020AC9"/>
    <w:rsid w:val="00026199"/>
    <w:rsid w:val="000368BB"/>
    <w:rsid w:val="00037569"/>
    <w:rsid w:val="00037C13"/>
    <w:rsid w:val="00040AD5"/>
    <w:rsid w:val="00040EB0"/>
    <w:rsid w:val="00042905"/>
    <w:rsid w:val="00043264"/>
    <w:rsid w:val="00044DCA"/>
    <w:rsid w:val="000453D2"/>
    <w:rsid w:val="00047E4D"/>
    <w:rsid w:val="0005403D"/>
    <w:rsid w:val="000577DC"/>
    <w:rsid w:val="0006240C"/>
    <w:rsid w:val="00062CD7"/>
    <w:rsid w:val="00071FF3"/>
    <w:rsid w:val="00072C6C"/>
    <w:rsid w:val="00082C1F"/>
    <w:rsid w:val="00083D8F"/>
    <w:rsid w:val="000859E6"/>
    <w:rsid w:val="00090DF0"/>
    <w:rsid w:val="00093B59"/>
    <w:rsid w:val="00097335"/>
    <w:rsid w:val="000A0AFA"/>
    <w:rsid w:val="000A5143"/>
    <w:rsid w:val="000A768F"/>
    <w:rsid w:val="000A7F8A"/>
    <w:rsid w:val="000B00BE"/>
    <w:rsid w:val="000B4BE9"/>
    <w:rsid w:val="000B4E9F"/>
    <w:rsid w:val="000B61BD"/>
    <w:rsid w:val="000C0154"/>
    <w:rsid w:val="000C1D5E"/>
    <w:rsid w:val="000C4791"/>
    <w:rsid w:val="000C5C5C"/>
    <w:rsid w:val="000C7231"/>
    <w:rsid w:val="000C77F6"/>
    <w:rsid w:val="000D1A0E"/>
    <w:rsid w:val="000D53C5"/>
    <w:rsid w:val="000D5C16"/>
    <w:rsid w:val="000D6882"/>
    <w:rsid w:val="000E0289"/>
    <w:rsid w:val="000E035E"/>
    <w:rsid w:val="000E2D12"/>
    <w:rsid w:val="000E36D3"/>
    <w:rsid w:val="000F031B"/>
    <w:rsid w:val="000F1391"/>
    <w:rsid w:val="000F1B37"/>
    <w:rsid w:val="000F6335"/>
    <w:rsid w:val="000F7E86"/>
    <w:rsid w:val="00107610"/>
    <w:rsid w:val="001100A8"/>
    <w:rsid w:val="001100DB"/>
    <w:rsid w:val="00122225"/>
    <w:rsid w:val="00122249"/>
    <w:rsid w:val="00123B7E"/>
    <w:rsid w:val="00123BFD"/>
    <w:rsid w:val="00126472"/>
    <w:rsid w:val="001266E0"/>
    <w:rsid w:val="00131D13"/>
    <w:rsid w:val="00132626"/>
    <w:rsid w:val="001326C7"/>
    <w:rsid w:val="00136AF1"/>
    <w:rsid w:val="00140DCE"/>
    <w:rsid w:val="00144A80"/>
    <w:rsid w:val="00153C83"/>
    <w:rsid w:val="00155DA8"/>
    <w:rsid w:val="00157375"/>
    <w:rsid w:val="001674D5"/>
    <w:rsid w:val="001717B9"/>
    <w:rsid w:val="00172AF2"/>
    <w:rsid w:val="00173965"/>
    <w:rsid w:val="00173F8A"/>
    <w:rsid w:val="001817BF"/>
    <w:rsid w:val="00182FE5"/>
    <w:rsid w:val="00190110"/>
    <w:rsid w:val="00195162"/>
    <w:rsid w:val="00196C5E"/>
    <w:rsid w:val="00197FFD"/>
    <w:rsid w:val="001A1A5B"/>
    <w:rsid w:val="001A2195"/>
    <w:rsid w:val="001A2CC2"/>
    <w:rsid w:val="001A59B4"/>
    <w:rsid w:val="001B1ED3"/>
    <w:rsid w:val="001B1F73"/>
    <w:rsid w:val="001B2928"/>
    <w:rsid w:val="001B52B1"/>
    <w:rsid w:val="001B5788"/>
    <w:rsid w:val="001B742C"/>
    <w:rsid w:val="001B792E"/>
    <w:rsid w:val="001C4215"/>
    <w:rsid w:val="001D100E"/>
    <w:rsid w:val="001D206A"/>
    <w:rsid w:val="001D26D6"/>
    <w:rsid w:val="001D3925"/>
    <w:rsid w:val="001D3C8C"/>
    <w:rsid w:val="001D491B"/>
    <w:rsid w:val="001D67F7"/>
    <w:rsid w:val="001E683A"/>
    <w:rsid w:val="001F0B0E"/>
    <w:rsid w:val="001F0C0E"/>
    <w:rsid w:val="001F6BBC"/>
    <w:rsid w:val="001F7BC6"/>
    <w:rsid w:val="001F7E4F"/>
    <w:rsid w:val="00200819"/>
    <w:rsid w:val="00200EF0"/>
    <w:rsid w:val="002018D9"/>
    <w:rsid w:val="00206F0E"/>
    <w:rsid w:val="00212FB3"/>
    <w:rsid w:val="00214E32"/>
    <w:rsid w:val="0021525F"/>
    <w:rsid w:val="00215CBA"/>
    <w:rsid w:val="0021631D"/>
    <w:rsid w:val="00217EA6"/>
    <w:rsid w:val="0022196D"/>
    <w:rsid w:val="002259B8"/>
    <w:rsid w:val="002328B6"/>
    <w:rsid w:val="0023583B"/>
    <w:rsid w:val="00236E94"/>
    <w:rsid w:val="0024080C"/>
    <w:rsid w:val="00245BE5"/>
    <w:rsid w:val="002500F8"/>
    <w:rsid w:val="00250253"/>
    <w:rsid w:val="00252603"/>
    <w:rsid w:val="002616DC"/>
    <w:rsid w:val="002658FD"/>
    <w:rsid w:val="00271E13"/>
    <w:rsid w:val="00281D1F"/>
    <w:rsid w:val="00286467"/>
    <w:rsid w:val="002872E2"/>
    <w:rsid w:val="00287F49"/>
    <w:rsid w:val="00290DCE"/>
    <w:rsid w:val="00291AAA"/>
    <w:rsid w:val="00293699"/>
    <w:rsid w:val="002967F6"/>
    <w:rsid w:val="002A1464"/>
    <w:rsid w:val="002A3633"/>
    <w:rsid w:val="002B28B6"/>
    <w:rsid w:val="002B4B6C"/>
    <w:rsid w:val="002B6FA4"/>
    <w:rsid w:val="002C1348"/>
    <w:rsid w:val="002C4E23"/>
    <w:rsid w:val="002C69C4"/>
    <w:rsid w:val="002C7A73"/>
    <w:rsid w:val="002D451B"/>
    <w:rsid w:val="002D66EF"/>
    <w:rsid w:val="002D70FF"/>
    <w:rsid w:val="002E02CC"/>
    <w:rsid w:val="002E2154"/>
    <w:rsid w:val="002E2BF8"/>
    <w:rsid w:val="002E453B"/>
    <w:rsid w:val="002E7547"/>
    <w:rsid w:val="002F22CF"/>
    <w:rsid w:val="00303E43"/>
    <w:rsid w:val="003119CE"/>
    <w:rsid w:val="003151AC"/>
    <w:rsid w:val="003162B2"/>
    <w:rsid w:val="00316480"/>
    <w:rsid w:val="00316C0D"/>
    <w:rsid w:val="003208F6"/>
    <w:rsid w:val="0032216B"/>
    <w:rsid w:val="003272FA"/>
    <w:rsid w:val="003278E2"/>
    <w:rsid w:val="0033492D"/>
    <w:rsid w:val="003356EB"/>
    <w:rsid w:val="00336E80"/>
    <w:rsid w:val="00337296"/>
    <w:rsid w:val="00340276"/>
    <w:rsid w:val="00341B29"/>
    <w:rsid w:val="003429CF"/>
    <w:rsid w:val="00342AC5"/>
    <w:rsid w:val="00344A3C"/>
    <w:rsid w:val="00354E73"/>
    <w:rsid w:val="003553D5"/>
    <w:rsid w:val="003560DD"/>
    <w:rsid w:val="00361807"/>
    <w:rsid w:val="00363EFF"/>
    <w:rsid w:val="003678BD"/>
    <w:rsid w:val="00375423"/>
    <w:rsid w:val="00375523"/>
    <w:rsid w:val="003772A5"/>
    <w:rsid w:val="00381915"/>
    <w:rsid w:val="00382531"/>
    <w:rsid w:val="00383410"/>
    <w:rsid w:val="00384017"/>
    <w:rsid w:val="003841C0"/>
    <w:rsid w:val="00385556"/>
    <w:rsid w:val="003856DF"/>
    <w:rsid w:val="00385CE3"/>
    <w:rsid w:val="00385F0A"/>
    <w:rsid w:val="00387821"/>
    <w:rsid w:val="00391565"/>
    <w:rsid w:val="00396043"/>
    <w:rsid w:val="00396A6E"/>
    <w:rsid w:val="003A0BBC"/>
    <w:rsid w:val="003A4642"/>
    <w:rsid w:val="003A4D92"/>
    <w:rsid w:val="003B0A0F"/>
    <w:rsid w:val="003B2027"/>
    <w:rsid w:val="003B2A52"/>
    <w:rsid w:val="003B6730"/>
    <w:rsid w:val="003B786F"/>
    <w:rsid w:val="003C51F4"/>
    <w:rsid w:val="003C6E53"/>
    <w:rsid w:val="003C7EDF"/>
    <w:rsid w:val="003D0764"/>
    <w:rsid w:val="003D7485"/>
    <w:rsid w:val="003E133E"/>
    <w:rsid w:val="003E2677"/>
    <w:rsid w:val="003E38AD"/>
    <w:rsid w:val="003E4720"/>
    <w:rsid w:val="003E716D"/>
    <w:rsid w:val="003E7257"/>
    <w:rsid w:val="003F1D0B"/>
    <w:rsid w:val="003F2D23"/>
    <w:rsid w:val="003F2DDC"/>
    <w:rsid w:val="003F42E1"/>
    <w:rsid w:val="003F5B59"/>
    <w:rsid w:val="003F6E21"/>
    <w:rsid w:val="004000ED"/>
    <w:rsid w:val="00405ABF"/>
    <w:rsid w:val="00411DB3"/>
    <w:rsid w:val="0041545B"/>
    <w:rsid w:val="0041576F"/>
    <w:rsid w:val="00415EE7"/>
    <w:rsid w:val="00417D02"/>
    <w:rsid w:val="00421C78"/>
    <w:rsid w:val="004243F6"/>
    <w:rsid w:val="00425AF6"/>
    <w:rsid w:val="00427AD9"/>
    <w:rsid w:val="00431228"/>
    <w:rsid w:val="00434466"/>
    <w:rsid w:val="0043490C"/>
    <w:rsid w:val="00434EDF"/>
    <w:rsid w:val="00435DB7"/>
    <w:rsid w:val="00441E9A"/>
    <w:rsid w:val="004540EC"/>
    <w:rsid w:val="00456AB2"/>
    <w:rsid w:val="004610F0"/>
    <w:rsid w:val="0046134A"/>
    <w:rsid w:val="004614F8"/>
    <w:rsid w:val="00461A26"/>
    <w:rsid w:val="00465158"/>
    <w:rsid w:val="00470824"/>
    <w:rsid w:val="004717AD"/>
    <w:rsid w:val="00473F83"/>
    <w:rsid w:val="004767CE"/>
    <w:rsid w:val="00476C58"/>
    <w:rsid w:val="004837EA"/>
    <w:rsid w:val="004852CD"/>
    <w:rsid w:val="00485E8A"/>
    <w:rsid w:val="00487F5D"/>
    <w:rsid w:val="00490BA7"/>
    <w:rsid w:val="00492B8A"/>
    <w:rsid w:val="00493D65"/>
    <w:rsid w:val="004943DF"/>
    <w:rsid w:val="00494D2D"/>
    <w:rsid w:val="00494F55"/>
    <w:rsid w:val="00496652"/>
    <w:rsid w:val="004A24BB"/>
    <w:rsid w:val="004A353E"/>
    <w:rsid w:val="004A4C83"/>
    <w:rsid w:val="004A541E"/>
    <w:rsid w:val="004A5E40"/>
    <w:rsid w:val="004A671F"/>
    <w:rsid w:val="004A6882"/>
    <w:rsid w:val="004B1478"/>
    <w:rsid w:val="004B5248"/>
    <w:rsid w:val="004B59C8"/>
    <w:rsid w:val="004C0608"/>
    <w:rsid w:val="004C1E9E"/>
    <w:rsid w:val="004C27CD"/>
    <w:rsid w:val="004C2A72"/>
    <w:rsid w:val="004C2EBA"/>
    <w:rsid w:val="004C559A"/>
    <w:rsid w:val="004C6434"/>
    <w:rsid w:val="004C7D3A"/>
    <w:rsid w:val="004D53EE"/>
    <w:rsid w:val="004D7AD1"/>
    <w:rsid w:val="004D7C79"/>
    <w:rsid w:val="004E1EC6"/>
    <w:rsid w:val="004E5842"/>
    <w:rsid w:val="004E73B5"/>
    <w:rsid w:val="005017E0"/>
    <w:rsid w:val="00503831"/>
    <w:rsid w:val="005078EE"/>
    <w:rsid w:val="005125A5"/>
    <w:rsid w:val="00521B93"/>
    <w:rsid w:val="00530C00"/>
    <w:rsid w:val="00531C08"/>
    <w:rsid w:val="0053568D"/>
    <w:rsid w:val="00540D16"/>
    <w:rsid w:val="005411CE"/>
    <w:rsid w:val="00546456"/>
    <w:rsid w:val="005478DC"/>
    <w:rsid w:val="00554972"/>
    <w:rsid w:val="005563C3"/>
    <w:rsid w:val="0056472A"/>
    <w:rsid w:val="005711F0"/>
    <w:rsid w:val="00572849"/>
    <w:rsid w:val="00575AAE"/>
    <w:rsid w:val="00580210"/>
    <w:rsid w:val="0058062C"/>
    <w:rsid w:val="00591393"/>
    <w:rsid w:val="00592CD0"/>
    <w:rsid w:val="005947AD"/>
    <w:rsid w:val="00596628"/>
    <w:rsid w:val="00596F3D"/>
    <w:rsid w:val="005A2684"/>
    <w:rsid w:val="005A3676"/>
    <w:rsid w:val="005A3C2F"/>
    <w:rsid w:val="005A5228"/>
    <w:rsid w:val="005A6FA8"/>
    <w:rsid w:val="005A7E57"/>
    <w:rsid w:val="005B0C3C"/>
    <w:rsid w:val="005B1597"/>
    <w:rsid w:val="005B6F7C"/>
    <w:rsid w:val="005C0076"/>
    <w:rsid w:val="005C0F7F"/>
    <w:rsid w:val="005C1E93"/>
    <w:rsid w:val="005C2866"/>
    <w:rsid w:val="005D064C"/>
    <w:rsid w:val="005D1DC8"/>
    <w:rsid w:val="005D22AA"/>
    <w:rsid w:val="005D54B4"/>
    <w:rsid w:val="005D7734"/>
    <w:rsid w:val="005D78F0"/>
    <w:rsid w:val="005E223D"/>
    <w:rsid w:val="005F044D"/>
    <w:rsid w:val="005F63A9"/>
    <w:rsid w:val="006015D0"/>
    <w:rsid w:val="00603CF3"/>
    <w:rsid w:val="00604B43"/>
    <w:rsid w:val="00606FA1"/>
    <w:rsid w:val="00612A33"/>
    <w:rsid w:val="0061486B"/>
    <w:rsid w:val="006225E8"/>
    <w:rsid w:val="00626422"/>
    <w:rsid w:val="00627C21"/>
    <w:rsid w:val="00627EC8"/>
    <w:rsid w:val="00636F06"/>
    <w:rsid w:val="00640916"/>
    <w:rsid w:val="00642239"/>
    <w:rsid w:val="00644BC0"/>
    <w:rsid w:val="006460E6"/>
    <w:rsid w:val="006469AD"/>
    <w:rsid w:val="00647D08"/>
    <w:rsid w:val="00651F09"/>
    <w:rsid w:val="006572A2"/>
    <w:rsid w:val="006602E3"/>
    <w:rsid w:val="00662C6A"/>
    <w:rsid w:val="00665154"/>
    <w:rsid w:val="00665C32"/>
    <w:rsid w:val="00666AC0"/>
    <w:rsid w:val="0067014B"/>
    <w:rsid w:val="006719C0"/>
    <w:rsid w:val="0067523C"/>
    <w:rsid w:val="006800B4"/>
    <w:rsid w:val="00680AB6"/>
    <w:rsid w:val="00682302"/>
    <w:rsid w:val="006850A8"/>
    <w:rsid w:val="006858C2"/>
    <w:rsid w:val="006876BB"/>
    <w:rsid w:val="00691318"/>
    <w:rsid w:val="00691C14"/>
    <w:rsid w:val="006935F7"/>
    <w:rsid w:val="00693EE5"/>
    <w:rsid w:val="00694F0F"/>
    <w:rsid w:val="006A210C"/>
    <w:rsid w:val="006A3B05"/>
    <w:rsid w:val="006B1752"/>
    <w:rsid w:val="006B78F7"/>
    <w:rsid w:val="006C0458"/>
    <w:rsid w:val="006C079E"/>
    <w:rsid w:val="006C1A40"/>
    <w:rsid w:val="006C207C"/>
    <w:rsid w:val="006C6B7F"/>
    <w:rsid w:val="006D0C25"/>
    <w:rsid w:val="006D1C1F"/>
    <w:rsid w:val="006D6401"/>
    <w:rsid w:val="006D7AAA"/>
    <w:rsid w:val="006E1E3D"/>
    <w:rsid w:val="006E43E0"/>
    <w:rsid w:val="006E629A"/>
    <w:rsid w:val="006E6DA9"/>
    <w:rsid w:val="006E70F9"/>
    <w:rsid w:val="006F1579"/>
    <w:rsid w:val="006F19B1"/>
    <w:rsid w:val="006F355B"/>
    <w:rsid w:val="00704019"/>
    <w:rsid w:val="00705DFB"/>
    <w:rsid w:val="00707167"/>
    <w:rsid w:val="00707F91"/>
    <w:rsid w:val="00717029"/>
    <w:rsid w:val="00717FD7"/>
    <w:rsid w:val="00720BDF"/>
    <w:rsid w:val="00722903"/>
    <w:rsid w:val="00723BFE"/>
    <w:rsid w:val="00725EAB"/>
    <w:rsid w:val="007263BF"/>
    <w:rsid w:val="007270B1"/>
    <w:rsid w:val="00731023"/>
    <w:rsid w:val="00733932"/>
    <w:rsid w:val="00741838"/>
    <w:rsid w:val="007420A3"/>
    <w:rsid w:val="00744122"/>
    <w:rsid w:val="00744272"/>
    <w:rsid w:val="0074765E"/>
    <w:rsid w:val="00750280"/>
    <w:rsid w:val="0075472F"/>
    <w:rsid w:val="00754995"/>
    <w:rsid w:val="00756772"/>
    <w:rsid w:val="00762074"/>
    <w:rsid w:val="007669BF"/>
    <w:rsid w:val="00770393"/>
    <w:rsid w:val="007728FE"/>
    <w:rsid w:val="00782147"/>
    <w:rsid w:val="00787745"/>
    <w:rsid w:val="00792928"/>
    <w:rsid w:val="00793F5D"/>
    <w:rsid w:val="00794777"/>
    <w:rsid w:val="00794A7D"/>
    <w:rsid w:val="007956A3"/>
    <w:rsid w:val="007972E3"/>
    <w:rsid w:val="007978E3"/>
    <w:rsid w:val="007A3496"/>
    <w:rsid w:val="007A66FF"/>
    <w:rsid w:val="007B0732"/>
    <w:rsid w:val="007B0C2A"/>
    <w:rsid w:val="007B400F"/>
    <w:rsid w:val="007C299E"/>
    <w:rsid w:val="007C3C75"/>
    <w:rsid w:val="007C4140"/>
    <w:rsid w:val="007C6D80"/>
    <w:rsid w:val="007C7618"/>
    <w:rsid w:val="007D186C"/>
    <w:rsid w:val="007D2C9B"/>
    <w:rsid w:val="007D5BC9"/>
    <w:rsid w:val="007E0A87"/>
    <w:rsid w:val="007E0F9A"/>
    <w:rsid w:val="007E2E80"/>
    <w:rsid w:val="007E518B"/>
    <w:rsid w:val="007E6860"/>
    <w:rsid w:val="007E7C90"/>
    <w:rsid w:val="007F3F16"/>
    <w:rsid w:val="007F78A1"/>
    <w:rsid w:val="007F7CD1"/>
    <w:rsid w:val="0080340C"/>
    <w:rsid w:val="00804B09"/>
    <w:rsid w:val="00805E4A"/>
    <w:rsid w:val="00810F8A"/>
    <w:rsid w:val="00811EE2"/>
    <w:rsid w:val="0081222B"/>
    <w:rsid w:val="00815F9B"/>
    <w:rsid w:val="0081628A"/>
    <w:rsid w:val="00820113"/>
    <w:rsid w:val="008330BD"/>
    <w:rsid w:val="0083566B"/>
    <w:rsid w:val="00837023"/>
    <w:rsid w:val="008378E6"/>
    <w:rsid w:val="0084287E"/>
    <w:rsid w:val="008430CB"/>
    <w:rsid w:val="00845558"/>
    <w:rsid w:val="00845A92"/>
    <w:rsid w:val="00847128"/>
    <w:rsid w:val="0085057A"/>
    <w:rsid w:val="008551FB"/>
    <w:rsid w:val="00856FB1"/>
    <w:rsid w:val="00862F3C"/>
    <w:rsid w:val="008635DA"/>
    <w:rsid w:val="00864E59"/>
    <w:rsid w:val="00867E92"/>
    <w:rsid w:val="008709D1"/>
    <w:rsid w:val="00871527"/>
    <w:rsid w:val="008752C0"/>
    <w:rsid w:val="0087571A"/>
    <w:rsid w:val="00877CC7"/>
    <w:rsid w:val="008810D6"/>
    <w:rsid w:val="00886A00"/>
    <w:rsid w:val="00887790"/>
    <w:rsid w:val="008900A5"/>
    <w:rsid w:val="008905BC"/>
    <w:rsid w:val="008920D9"/>
    <w:rsid w:val="00892EE3"/>
    <w:rsid w:val="008930A5"/>
    <w:rsid w:val="00894EDE"/>
    <w:rsid w:val="00896C55"/>
    <w:rsid w:val="008A47AA"/>
    <w:rsid w:val="008B5A53"/>
    <w:rsid w:val="008C1DEA"/>
    <w:rsid w:val="008C2804"/>
    <w:rsid w:val="008C2BA0"/>
    <w:rsid w:val="008C6783"/>
    <w:rsid w:val="008C6FE5"/>
    <w:rsid w:val="008D6676"/>
    <w:rsid w:val="008D7D7F"/>
    <w:rsid w:val="008E473F"/>
    <w:rsid w:val="008F3255"/>
    <w:rsid w:val="008F6742"/>
    <w:rsid w:val="008F6E49"/>
    <w:rsid w:val="008F7B94"/>
    <w:rsid w:val="00901FC5"/>
    <w:rsid w:val="00911554"/>
    <w:rsid w:val="00913701"/>
    <w:rsid w:val="0091372D"/>
    <w:rsid w:val="009143BC"/>
    <w:rsid w:val="0091460A"/>
    <w:rsid w:val="009156CC"/>
    <w:rsid w:val="00915F7E"/>
    <w:rsid w:val="00916A82"/>
    <w:rsid w:val="00924F14"/>
    <w:rsid w:val="00927A9D"/>
    <w:rsid w:val="0093461A"/>
    <w:rsid w:val="00936BE4"/>
    <w:rsid w:val="009376B9"/>
    <w:rsid w:val="00937B18"/>
    <w:rsid w:val="00940B3D"/>
    <w:rsid w:val="00940B92"/>
    <w:rsid w:val="00940F0E"/>
    <w:rsid w:val="00941B96"/>
    <w:rsid w:val="00941E85"/>
    <w:rsid w:val="00942B9E"/>
    <w:rsid w:val="0094441B"/>
    <w:rsid w:val="00951587"/>
    <w:rsid w:val="00952A73"/>
    <w:rsid w:val="00952D92"/>
    <w:rsid w:val="009531D0"/>
    <w:rsid w:val="00954E4C"/>
    <w:rsid w:val="009557CD"/>
    <w:rsid w:val="00957046"/>
    <w:rsid w:val="00964317"/>
    <w:rsid w:val="009656FD"/>
    <w:rsid w:val="00966FC3"/>
    <w:rsid w:val="009762BF"/>
    <w:rsid w:val="00982853"/>
    <w:rsid w:val="00983D83"/>
    <w:rsid w:val="009875FC"/>
    <w:rsid w:val="00990518"/>
    <w:rsid w:val="00991CEB"/>
    <w:rsid w:val="0099261A"/>
    <w:rsid w:val="00994A04"/>
    <w:rsid w:val="00995DA3"/>
    <w:rsid w:val="009973E0"/>
    <w:rsid w:val="00997C45"/>
    <w:rsid w:val="00997F42"/>
    <w:rsid w:val="009A004F"/>
    <w:rsid w:val="009A2354"/>
    <w:rsid w:val="009A259D"/>
    <w:rsid w:val="009A2D66"/>
    <w:rsid w:val="009A4733"/>
    <w:rsid w:val="009A651A"/>
    <w:rsid w:val="009A6A86"/>
    <w:rsid w:val="009B6062"/>
    <w:rsid w:val="009B6C45"/>
    <w:rsid w:val="009B7E00"/>
    <w:rsid w:val="009C1610"/>
    <w:rsid w:val="009C39F4"/>
    <w:rsid w:val="009D0848"/>
    <w:rsid w:val="009D20E5"/>
    <w:rsid w:val="009D51F7"/>
    <w:rsid w:val="009D683B"/>
    <w:rsid w:val="009D74A6"/>
    <w:rsid w:val="009E45F2"/>
    <w:rsid w:val="009F0B05"/>
    <w:rsid w:val="009F2C5A"/>
    <w:rsid w:val="009F32ED"/>
    <w:rsid w:val="009F4285"/>
    <w:rsid w:val="009F47D1"/>
    <w:rsid w:val="00A01C3A"/>
    <w:rsid w:val="00A039A0"/>
    <w:rsid w:val="00A04353"/>
    <w:rsid w:val="00A05915"/>
    <w:rsid w:val="00A0776C"/>
    <w:rsid w:val="00A10492"/>
    <w:rsid w:val="00A10A2C"/>
    <w:rsid w:val="00A11589"/>
    <w:rsid w:val="00A12ACA"/>
    <w:rsid w:val="00A158AA"/>
    <w:rsid w:val="00A15B8D"/>
    <w:rsid w:val="00A223A0"/>
    <w:rsid w:val="00A22761"/>
    <w:rsid w:val="00A242C0"/>
    <w:rsid w:val="00A32696"/>
    <w:rsid w:val="00A35412"/>
    <w:rsid w:val="00A40932"/>
    <w:rsid w:val="00A516DE"/>
    <w:rsid w:val="00A542CC"/>
    <w:rsid w:val="00A550D0"/>
    <w:rsid w:val="00A57866"/>
    <w:rsid w:val="00A602DA"/>
    <w:rsid w:val="00A67E47"/>
    <w:rsid w:val="00A7073C"/>
    <w:rsid w:val="00A74B78"/>
    <w:rsid w:val="00A803C6"/>
    <w:rsid w:val="00A83152"/>
    <w:rsid w:val="00A83B3D"/>
    <w:rsid w:val="00A83D0E"/>
    <w:rsid w:val="00A842CE"/>
    <w:rsid w:val="00A85B11"/>
    <w:rsid w:val="00A9094C"/>
    <w:rsid w:val="00A9190A"/>
    <w:rsid w:val="00A9314F"/>
    <w:rsid w:val="00A93229"/>
    <w:rsid w:val="00A93A84"/>
    <w:rsid w:val="00AA6D07"/>
    <w:rsid w:val="00AB3898"/>
    <w:rsid w:val="00AB48C7"/>
    <w:rsid w:val="00AB6973"/>
    <w:rsid w:val="00AC2395"/>
    <w:rsid w:val="00AC4262"/>
    <w:rsid w:val="00AC4DDA"/>
    <w:rsid w:val="00AC50B0"/>
    <w:rsid w:val="00AC5253"/>
    <w:rsid w:val="00AC7319"/>
    <w:rsid w:val="00AD0AFD"/>
    <w:rsid w:val="00AD1FAF"/>
    <w:rsid w:val="00AD31AE"/>
    <w:rsid w:val="00AD7081"/>
    <w:rsid w:val="00AD7791"/>
    <w:rsid w:val="00AE3BAC"/>
    <w:rsid w:val="00AE481C"/>
    <w:rsid w:val="00AE6ADC"/>
    <w:rsid w:val="00AE7C84"/>
    <w:rsid w:val="00AF6520"/>
    <w:rsid w:val="00AF6533"/>
    <w:rsid w:val="00B02105"/>
    <w:rsid w:val="00B03C12"/>
    <w:rsid w:val="00B06A92"/>
    <w:rsid w:val="00B10824"/>
    <w:rsid w:val="00B130D1"/>
    <w:rsid w:val="00B1386F"/>
    <w:rsid w:val="00B14BD0"/>
    <w:rsid w:val="00B16732"/>
    <w:rsid w:val="00B17149"/>
    <w:rsid w:val="00B17650"/>
    <w:rsid w:val="00B2133E"/>
    <w:rsid w:val="00B21F99"/>
    <w:rsid w:val="00B223AD"/>
    <w:rsid w:val="00B26955"/>
    <w:rsid w:val="00B30A0F"/>
    <w:rsid w:val="00B322C6"/>
    <w:rsid w:val="00B32689"/>
    <w:rsid w:val="00B32BC6"/>
    <w:rsid w:val="00B4172E"/>
    <w:rsid w:val="00B428AA"/>
    <w:rsid w:val="00B4306C"/>
    <w:rsid w:val="00B45D52"/>
    <w:rsid w:val="00B4623C"/>
    <w:rsid w:val="00B501CE"/>
    <w:rsid w:val="00B5096D"/>
    <w:rsid w:val="00B56F2A"/>
    <w:rsid w:val="00B56F38"/>
    <w:rsid w:val="00B64961"/>
    <w:rsid w:val="00B65297"/>
    <w:rsid w:val="00B7005A"/>
    <w:rsid w:val="00B75708"/>
    <w:rsid w:val="00B770FB"/>
    <w:rsid w:val="00B77DB0"/>
    <w:rsid w:val="00B818E9"/>
    <w:rsid w:val="00B81E84"/>
    <w:rsid w:val="00B90104"/>
    <w:rsid w:val="00B94060"/>
    <w:rsid w:val="00B947D1"/>
    <w:rsid w:val="00BA12F9"/>
    <w:rsid w:val="00BA1790"/>
    <w:rsid w:val="00BA453A"/>
    <w:rsid w:val="00BA45F2"/>
    <w:rsid w:val="00BB01F9"/>
    <w:rsid w:val="00BB27B8"/>
    <w:rsid w:val="00BB5E70"/>
    <w:rsid w:val="00BC762F"/>
    <w:rsid w:val="00BD216B"/>
    <w:rsid w:val="00BE1298"/>
    <w:rsid w:val="00BE3B0E"/>
    <w:rsid w:val="00BE40E5"/>
    <w:rsid w:val="00BE4744"/>
    <w:rsid w:val="00BE5AB3"/>
    <w:rsid w:val="00BE625E"/>
    <w:rsid w:val="00BF10A5"/>
    <w:rsid w:val="00BF211C"/>
    <w:rsid w:val="00BF31F3"/>
    <w:rsid w:val="00BF3B10"/>
    <w:rsid w:val="00BF3BF3"/>
    <w:rsid w:val="00BF645E"/>
    <w:rsid w:val="00C00149"/>
    <w:rsid w:val="00C0428D"/>
    <w:rsid w:val="00C04B1C"/>
    <w:rsid w:val="00C05C37"/>
    <w:rsid w:val="00C06CB9"/>
    <w:rsid w:val="00C22A3B"/>
    <w:rsid w:val="00C23C70"/>
    <w:rsid w:val="00C30377"/>
    <w:rsid w:val="00C31748"/>
    <w:rsid w:val="00C342DA"/>
    <w:rsid w:val="00C34781"/>
    <w:rsid w:val="00C35E06"/>
    <w:rsid w:val="00C40CB6"/>
    <w:rsid w:val="00C4214E"/>
    <w:rsid w:val="00C44794"/>
    <w:rsid w:val="00C44A89"/>
    <w:rsid w:val="00C44FB2"/>
    <w:rsid w:val="00C4774F"/>
    <w:rsid w:val="00C50518"/>
    <w:rsid w:val="00C55B53"/>
    <w:rsid w:val="00C571C5"/>
    <w:rsid w:val="00C60246"/>
    <w:rsid w:val="00C62CEC"/>
    <w:rsid w:val="00C64434"/>
    <w:rsid w:val="00C64EBD"/>
    <w:rsid w:val="00C65A44"/>
    <w:rsid w:val="00C66EA3"/>
    <w:rsid w:val="00C7080B"/>
    <w:rsid w:val="00C71D97"/>
    <w:rsid w:val="00C74F4E"/>
    <w:rsid w:val="00C764FB"/>
    <w:rsid w:val="00C82358"/>
    <w:rsid w:val="00C82A07"/>
    <w:rsid w:val="00C83F6C"/>
    <w:rsid w:val="00C84CC3"/>
    <w:rsid w:val="00C869EB"/>
    <w:rsid w:val="00C874CC"/>
    <w:rsid w:val="00C9291C"/>
    <w:rsid w:val="00CA0082"/>
    <w:rsid w:val="00CA0829"/>
    <w:rsid w:val="00CA10E1"/>
    <w:rsid w:val="00CA372C"/>
    <w:rsid w:val="00CB1871"/>
    <w:rsid w:val="00CB4D2C"/>
    <w:rsid w:val="00CB63BE"/>
    <w:rsid w:val="00CC5C13"/>
    <w:rsid w:val="00CD1F1F"/>
    <w:rsid w:val="00CD1FBD"/>
    <w:rsid w:val="00CD56ED"/>
    <w:rsid w:val="00CD5BC6"/>
    <w:rsid w:val="00CE1984"/>
    <w:rsid w:val="00CE2A6A"/>
    <w:rsid w:val="00CE6B16"/>
    <w:rsid w:val="00CE7507"/>
    <w:rsid w:val="00CF038F"/>
    <w:rsid w:val="00CF4DB5"/>
    <w:rsid w:val="00CF62F3"/>
    <w:rsid w:val="00CF6B50"/>
    <w:rsid w:val="00D00526"/>
    <w:rsid w:val="00D022B3"/>
    <w:rsid w:val="00D07799"/>
    <w:rsid w:val="00D07D7E"/>
    <w:rsid w:val="00D16835"/>
    <w:rsid w:val="00D2007F"/>
    <w:rsid w:val="00D305E7"/>
    <w:rsid w:val="00D33A0F"/>
    <w:rsid w:val="00D41DAB"/>
    <w:rsid w:val="00D47AE6"/>
    <w:rsid w:val="00D514CA"/>
    <w:rsid w:val="00D523D9"/>
    <w:rsid w:val="00D54556"/>
    <w:rsid w:val="00D55FCC"/>
    <w:rsid w:val="00D61B45"/>
    <w:rsid w:val="00D62B52"/>
    <w:rsid w:val="00D630F7"/>
    <w:rsid w:val="00D637C2"/>
    <w:rsid w:val="00D65106"/>
    <w:rsid w:val="00D74280"/>
    <w:rsid w:val="00D7641D"/>
    <w:rsid w:val="00D76632"/>
    <w:rsid w:val="00D7679E"/>
    <w:rsid w:val="00D80392"/>
    <w:rsid w:val="00D83CFE"/>
    <w:rsid w:val="00D8499A"/>
    <w:rsid w:val="00D85374"/>
    <w:rsid w:val="00D90696"/>
    <w:rsid w:val="00D94631"/>
    <w:rsid w:val="00D94A7A"/>
    <w:rsid w:val="00D96A02"/>
    <w:rsid w:val="00DA34B7"/>
    <w:rsid w:val="00DA570C"/>
    <w:rsid w:val="00DA5AB6"/>
    <w:rsid w:val="00DB419C"/>
    <w:rsid w:val="00DB4BED"/>
    <w:rsid w:val="00DB50CC"/>
    <w:rsid w:val="00DB6644"/>
    <w:rsid w:val="00DB7F2A"/>
    <w:rsid w:val="00DC05EE"/>
    <w:rsid w:val="00DC488A"/>
    <w:rsid w:val="00DC7BFE"/>
    <w:rsid w:val="00DD1B7D"/>
    <w:rsid w:val="00DD2C99"/>
    <w:rsid w:val="00DD2CB0"/>
    <w:rsid w:val="00DD549F"/>
    <w:rsid w:val="00DD6890"/>
    <w:rsid w:val="00DD7EB0"/>
    <w:rsid w:val="00DE2000"/>
    <w:rsid w:val="00DE3D69"/>
    <w:rsid w:val="00DE40C9"/>
    <w:rsid w:val="00DE5522"/>
    <w:rsid w:val="00DF0E60"/>
    <w:rsid w:val="00DF2AC7"/>
    <w:rsid w:val="00DF2C8D"/>
    <w:rsid w:val="00DF5DE9"/>
    <w:rsid w:val="00DF61D5"/>
    <w:rsid w:val="00DF746B"/>
    <w:rsid w:val="00E03C8B"/>
    <w:rsid w:val="00E07349"/>
    <w:rsid w:val="00E143F2"/>
    <w:rsid w:val="00E17AE3"/>
    <w:rsid w:val="00E202AA"/>
    <w:rsid w:val="00E21A5F"/>
    <w:rsid w:val="00E224F3"/>
    <w:rsid w:val="00E24B4F"/>
    <w:rsid w:val="00E2575A"/>
    <w:rsid w:val="00E27C76"/>
    <w:rsid w:val="00E27F0A"/>
    <w:rsid w:val="00E33578"/>
    <w:rsid w:val="00E34FCD"/>
    <w:rsid w:val="00E35E5F"/>
    <w:rsid w:val="00E40ECA"/>
    <w:rsid w:val="00E40FE6"/>
    <w:rsid w:val="00E43D82"/>
    <w:rsid w:val="00E5030F"/>
    <w:rsid w:val="00E53063"/>
    <w:rsid w:val="00E632BA"/>
    <w:rsid w:val="00E662A2"/>
    <w:rsid w:val="00E7158B"/>
    <w:rsid w:val="00E729A5"/>
    <w:rsid w:val="00E76B5B"/>
    <w:rsid w:val="00E84D14"/>
    <w:rsid w:val="00E86140"/>
    <w:rsid w:val="00E97ECD"/>
    <w:rsid w:val="00EA18D8"/>
    <w:rsid w:val="00EA2577"/>
    <w:rsid w:val="00EA53EB"/>
    <w:rsid w:val="00EB31AF"/>
    <w:rsid w:val="00EB503B"/>
    <w:rsid w:val="00EC5162"/>
    <w:rsid w:val="00EC55CB"/>
    <w:rsid w:val="00EC5BED"/>
    <w:rsid w:val="00EC6038"/>
    <w:rsid w:val="00ED0B78"/>
    <w:rsid w:val="00ED3A76"/>
    <w:rsid w:val="00ED3BB9"/>
    <w:rsid w:val="00ED4001"/>
    <w:rsid w:val="00ED4D18"/>
    <w:rsid w:val="00EE14AB"/>
    <w:rsid w:val="00EF0462"/>
    <w:rsid w:val="00EF240E"/>
    <w:rsid w:val="00EF2AA0"/>
    <w:rsid w:val="00EF6D63"/>
    <w:rsid w:val="00F0378B"/>
    <w:rsid w:val="00F04614"/>
    <w:rsid w:val="00F06551"/>
    <w:rsid w:val="00F10377"/>
    <w:rsid w:val="00F117B7"/>
    <w:rsid w:val="00F136F4"/>
    <w:rsid w:val="00F1514A"/>
    <w:rsid w:val="00F1530D"/>
    <w:rsid w:val="00F233C9"/>
    <w:rsid w:val="00F240D5"/>
    <w:rsid w:val="00F4399D"/>
    <w:rsid w:val="00F64A52"/>
    <w:rsid w:val="00F71A4B"/>
    <w:rsid w:val="00F74001"/>
    <w:rsid w:val="00F82727"/>
    <w:rsid w:val="00F85D6B"/>
    <w:rsid w:val="00F8662B"/>
    <w:rsid w:val="00F911B5"/>
    <w:rsid w:val="00F93BBA"/>
    <w:rsid w:val="00F952B5"/>
    <w:rsid w:val="00F96667"/>
    <w:rsid w:val="00FA5557"/>
    <w:rsid w:val="00FB0085"/>
    <w:rsid w:val="00FB044A"/>
    <w:rsid w:val="00FB1C5E"/>
    <w:rsid w:val="00FB236E"/>
    <w:rsid w:val="00FB4DE8"/>
    <w:rsid w:val="00FC1374"/>
    <w:rsid w:val="00FC1811"/>
    <w:rsid w:val="00FC1AFE"/>
    <w:rsid w:val="00FC65A3"/>
    <w:rsid w:val="00FC6BF6"/>
    <w:rsid w:val="00FC6E53"/>
    <w:rsid w:val="00FD135A"/>
    <w:rsid w:val="00FD13EC"/>
    <w:rsid w:val="00FD4538"/>
    <w:rsid w:val="00FD51AE"/>
    <w:rsid w:val="00FD5EE1"/>
    <w:rsid w:val="00FD7BD8"/>
    <w:rsid w:val="00FD7CAF"/>
    <w:rsid w:val="00FE0C16"/>
    <w:rsid w:val="00FE1751"/>
    <w:rsid w:val="00FE2E94"/>
    <w:rsid w:val="00FE3C29"/>
    <w:rsid w:val="00FE3CA6"/>
    <w:rsid w:val="00FE472F"/>
    <w:rsid w:val="00FF0139"/>
    <w:rsid w:val="00FF0168"/>
    <w:rsid w:val="00FF427B"/>
    <w:rsid w:val="00FF6334"/>
    <w:rsid w:val="00FF76BE"/>
    <w:rsid w:val="36D0F59D"/>
    <w:rsid w:val="5BA6308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C24CD"/>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Yu Mincho" w:hAnsi="Calibri" w:cs="Times New Roman"/>
        <w:lang w:val="fr-F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qFormat="1"/>
    <w:lsdException w:name="Smart Link" w:semiHidden="1" w:unhideWhenUsed="1"/>
  </w:latentStyles>
  <w:style w:type="paragraph" w:default="1" w:styleId="Normal">
    <w:name w:val="Normal"/>
    <w:qFormat/>
    <w:rsid w:val="004614F8"/>
    <w:pPr>
      <w:spacing w:after="200"/>
    </w:pPr>
    <w:rPr>
      <w:rFonts w:ascii="Verdana" w:eastAsia="Times New Roman" w:hAnsi="Verdana"/>
      <w:sz w:val="18"/>
      <w:szCs w:val="24"/>
      <w:lang w:eastAsia="fr-FR"/>
    </w:rPr>
  </w:style>
  <w:style w:type="paragraph" w:styleId="Titre1">
    <w:name w:val="heading 1"/>
    <w:next w:val="Normal"/>
    <w:link w:val="Titre1Car"/>
    <w:uiPriority w:val="9"/>
    <w:qFormat/>
    <w:rsid w:val="00901FC5"/>
    <w:pPr>
      <w:keepNext/>
      <w:keepLines/>
      <w:spacing w:before="400" w:after="300"/>
      <w:outlineLvl w:val="0"/>
    </w:pPr>
    <w:rPr>
      <w:rFonts w:ascii="Verdana" w:eastAsia="Yu Gothic Light" w:hAnsi="Verdana"/>
      <w:b/>
      <w:color w:val="0B1A34"/>
      <w:sz w:val="26"/>
      <w:szCs w:val="32"/>
    </w:rPr>
  </w:style>
  <w:style w:type="paragraph" w:styleId="Titre2">
    <w:name w:val="heading 2"/>
    <w:next w:val="Normal"/>
    <w:link w:val="Titre2Car"/>
    <w:uiPriority w:val="9"/>
    <w:unhideWhenUsed/>
    <w:qFormat/>
    <w:rsid w:val="00901FC5"/>
    <w:pPr>
      <w:keepNext/>
      <w:keepLines/>
      <w:spacing w:before="400" w:after="300"/>
      <w:outlineLvl w:val="1"/>
    </w:pPr>
    <w:rPr>
      <w:rFonts w:ascii="Verdana" w:eastAsia="Yu Gothic Light" w:hAnsi="Verdana"/>
      <w:b/>
      <w:color w:val="30476E"/>
      <w:sz w:val="24"/>
      <w:szCs w:val="26"/>
    </w:rPr>
  </w:style>
  <w:style w:type="paragraph" w:styleId="Titre3">
    <w:name w:val="heading 3"/>
    <w:next w:val="Normal"/>
    <w:link w:val="Titre3Car"/>
    <w:uiPriority w:val="9"/>
    <w:unhideWhenUsed/>
    <w:qFormat/>
    <w:rsid w:val="00837023"/>
    <w:pPr>
      <w:keepNext/>
      <w:keepLines/>
      <w:spacing w:before="400" w:after="300"/>
      <w:outlineLvl w:val="2"/>
    </w:pPr>
    <w:rPr>
      <w:rFonts w:ascii="Verdana" w:eastAsia="Yu Gothic Light" w:hAnsi="Verdana"/>
      <w:color w:val="333543"/>
      <w:sz w:val="23"/>
      <w:szCs w:val="24"/>
    </w:rPr>
  </w:style>
  <w:style w:type="paragraph" w:styleId="Titre4">
    <w:name w:val="heading 4"/>
    <w:next w:val="Normal"/>
    <w:link w:val="Titre4Car"/>
    <w:uiPriority w:val="9"/>
    <w:unhideWhenUsed/>
    <w:qFormat/>
    <w:rsid w:val="00750280"/>
    <w:pPr>
      <w:keepNext/>
      <w:keepLines/>
      <w:spacing w:before="400" w:after="300"/>
      <w:ind w:left="113" w:hanging="113"/>
      <w:outlineLvl w:val="3"/>
    </w:pPr>
    <w:rPr>
      <w:rFonts w:ascii="Verdana" w:eastAsia="Yu Gothic Light" w:hAnsi="Verdana"/>
      <w:color w:val="962E3E"/>
      <w:sz w:val="22"/>
      <w:szCs w:val="24"/>
    </w:rPr>
  </w:style>
  <w:style w:type="paragraph" w:styleId="Titre5">
    <w:name w:val="heading 5"/>
    <w:next w:val="Normal"/>
    <w:link w:val="Titre5Car"/>
    <w:uiPriority w:val="9"/>
    <w:unhideWhenUsed/>
    <w:qFormat/>
    <w:rsid w:val="00750280"/>
    <w:pPr>
      <w:keepNext/>
      <w:keepLines/>
      <w:spacing w:before="400" w:after="300"/>
      <w:ind w:left="227" w:hanging="227"/>
      <w:outlineLvl w:val="4"/>
    </w:pPr>
    <w:rPr>
      <w:rFonts w:ascii="Verdana" w:eastAsiaTheme="majorEastAsia" w:hAnsi="Verdana" w:cs="Times New Roman (Titres CS)"/>
      <w:i/>
      <w:color w:val="0B1A34"/>
      <w:sz w:val="22"/>
      <w:szCs w:val="24"/>
    </w:rPr>
  </w:style>
  <w:style w:type="paragraph" w:styleId="Titre6">
    <w:name w:val="heading 6"/>
    <w:next w:val="Normal"/>
    <w:link w:val="Titre6Car"/>
    <w:uiPriority w:val="9"/>
    <w:unhideWhenUsed/>
    <w:qFormat/>
    <w:rsid w:val="00750280"/>
    <w:pPr>
      <w:keepNext/>
      <w:keepLines/>
      <w:spacing w:before="400" w:after="300"/>
      <w:ind w:left="340" w:hanging="340"/>
      <w:outlineLvl w:val="5"/>
    </w:pPr>
    <w:rPr>
      <w:rFonts w:ascii="Verdana" w:eastAsiaTheme="majorEastAsia" w:hAnsi="Verdana" w:cs="Times New Roman (Titres CS)"/>
      <w:b/>
      <w:iCs/>
      <w:color w:val="30476E"/>
      <w:kern w:val="3"/>
      <w:sz w:val="21"/>
      <w:szCs w:val="24"/>
      <w:lang w:eastAsia="zh-CN" w:bidi="hi-IN"/>
    </w:rPr>
  </w:style>
  <w:style w:type="paragraph" w:styleId="Titre7">
    <w:name w:val="heading 7"/>
    <w:basedOn w:val="Normal"/>
    <w:next w:val="Normal"/>
    <w:link w:val="Titre7Car"/>
    <w:uiPriority w:val="9"/>
    <w:unhideWhenUsed/>
    <w:qFormat/>
    <w:rsid w:val="00456AB2"/>
    <w:pPr>
      <w:keepNext/>
      <w:keepLines/>
      <w:spacing w:before="400" w:after="300"/>
      <w:ind w:left="454" w:hanging="454"/>
      <w:outlineLvl w:val="6"/>
    </w:pPr>
    <w:rPr>
      <w:rFonts w:eastAsiaTheme="majorEastAsia" w:cstheme="majorBidi"/>
      <w:b/>
      <w:i/>
      <w:iCs/>
      <w:color w:val="333543"/>
      <w:sz w:val="21"/>
      <w:lang w:eastAsia="ja-JP"/>
    </w:rPr>
  </w:style>
  <w:style w:type="paragraph" w:styleId="Titre8">
    <w:name w:val="heading 8"/>
    <w:basedOn w:val="Normal"/>
    <w:next w:val="Normal"/>
    <w:link w:val="Titre8Car"/>
    <w:uiPriority w:val="9"/>
    <w:unhideWhenUsed/>
    <w:qFormat/>
    <w:rsid w:val="00456AB2"/>
    <w:pPr>
      <w:keepNext/>
      <w:keepLines/>
      <w:spacing w:before="400" w:after="300"/>
      <w:ind w:left="567" w:hanging="567"/>
      <w:outlineLvl w:val="7"/>
    </w:pPr>
    <w:rPr>
      <w:rFonts w:eastAsiaTheme="majorEastAsia" w:cstheme="majorBidi"/>
      <w:b/>
      <w:color w:val="962E3E"/>
      <w:sz w:val="20"/>
      <w:szCs w:val="21"/>
      <w:lang w:eastAsia="ja-JP"/>
    </w:rPr>
  </w:style>
  <w:style w:type="paragraph" w:styleId="Titre9">
    <w:name w:val="heading 9"/>
    <w:basedOn w:val="Normal"/>
    <w:next w:val="Normal"/>
    <w:link w:val="Titre9Car"/>
    <w:uiPriority w:val="9"/>
    <w:unhideWhenUsed/>
    <w:qFormat/>
    <w:rsid w:val="00456AB2"/>
    <w:pPr>
      <w:keepNext/>
      <w:keepLines/>
      <w:spacing w:before="400" w:after="300"/>
      <w:ind w:left="680" w:hanging="680"/>
      <w:outlineLvl w:val="8"/>
    </w:pPr>
    <w:rPr>
      <w:rFonts w:eastAsiaTheme="majorEastAsia" w:cstheme="majorBidi"/>
      <w:b/>
      <w:i/>
      <w:iCs/>
      <w:color w:val="0B1A34"/>
      <w:sz w:val="20"/>
      <w:szCs w:val="21"/>
      <w:lang w:eastAsia="zh-CN" w:bidi="hi-I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967F6"/>
    <w:pPr>
      <w:numPr>
        <w:numId w:val="12"/>
      </w:numPr>
      <w:spacing w:before="200"/>
      <w:ind w:left="924" w:hanging="357"/>
    </w:pPr>
    <w:rPr>
      <w:rFonts w:eastAsia="Yu Mincho"/>
      <w:lang w:eastAsia="ja-JP"/>
    </w:rPr>
  </w:style>
  <w:style w:type="character" w:customStyle="1" w:styleId="Titre1Car">
    <w:name w:val="Titre 1 Car"/>
    <w:link w:val="Titre1"/>
    <w:uiPriority w:val="9"/>
    <w:rsid w:val="00901FC5"/>
    <w:rPr>
      <w:rFonts w:ascii="Verdana" w:eastAsia="Yu Gothic Light" w:hAnsi="Verdana"/>
      <w:b/>
      <w:color w:val="0B1A34"/>
      <w:sz w:val="26"/>
      <w:szCs w:val="32"/>
    </w:rPr>
  </w:style>
  <w:style w:type="character" w:customStyle="1" w:styleId="Titre2Car">
    <w:name w:val="Titre 2 Car"/>
    <w:link w:val="Titre2"/>
    <w:uiPriority w:val="9"/>
    <w:rsid w:val="00901FC5"/>
    <w:rPr>
      <w:rFonts w:ascii="Verdana" w:eastAsia="Yu Gothic Light" w:hAnsi="Verdana"/>
      <w:b/>
      <w:color w:val="30476E"/>
      <w:sz w:val="24"/>
      <w:szCs w:val="26"/>
    </w:rPr>
  </w:style>
  <w:style w:type="character" w:customStyle="1" w:styleId="Titre3Car">
    <w:name w:val="Titre 3 Car"/>
    <w:link w:val="Titre3"/>
    <w:uiPriority w:val="9"/>
    <w:rsid w:val="00837023"/>
    <w:rPr>
      <w:rFonts w:ascii="Verdana" w:eastAsia="Yu Gothic Light" w:hAnsi="Verdana"/>
      <w:color w:val="333543"/>
      <w:sz w:val="23"/>
      <w:szCs w:val="24"/>
    </w:rPr>
  </w:style>
  <w:style w:type="character" w:customStyle="1" w:styleId="Titre4Car">
    <w:name w:val="Titre 4 Car"/>
    <w:link w:val="Titre4"/>
    <w:uiPriority w:val="9"/>
    <w:rsid w:val="00750280"/>
    <w:rPr>
      <w:rFonts w:ascii="Verdana" w:eastAsia="Yu Gothic Light" w:hAnsi="Verdana"/>
      <w:color w:val="962E3E"/>
      <w:sz w:val="22"/>
      <w:szCs w:val="24"/>
    </w:rPr>
  </w:style>
  <w:style w:type="paragraph" w:styleId="Titre">
    <w:name w:val="Title"/>
    <w:basedOn w:val="Titre1"/>
    <w:next w:val="Sansinterligne"/>
    <w:link w:val="TitreCar"/>
    <w:uiPriority w:val="10"/>
    <w:qFormat/>
    <w:rsid w:val="00901FC5"/>
    <w:pPr>
      <w:contextualSpacing/>
      <w:jc w:val="center"/>
    </w:pPr>
    <w:rPr>
      <w:kern w:val="28"/>
      <w:szCs w:val="56"/>
    </w:rPr>
  </w:style>
  <w:style w:type="character" w:customStyle="1" w:styleId="TitreCar">
    <w:name w:val="Titre Car"/>
    <w:link w:val="Titre"/>
    <w:uiPriority w:val="10"/>
    <w:rsid w:val="00901FC5"/>
    <w:rPr>
      <w:rFonts w:ascii="Verdana" w:eastAsia="Yu Gothic Light" w:hAnsi="Verdana"/>
      <w:b/>
      <w:color w:val="0B1A34"/>
      <w:kern w:val="28"/>
      <w:sz w:val="26"/>
      <w:szCs w:val="56"/>
    </w:rPr>
  </w:style>
  <w:style w:type="paragraph" w:styleId="Sansinterligne">
    <w:name w:val="No Spacing"/>
    <w:uiPriority w:val="1"/>
    <w:qFormat/>
    <w:rsid w:val="00431228"/>
    <w:rPr>
      <w:sz w:val="24"/>
      <w:szCs w:val="24"/>
    </w:rPr>
  </w:style>
  <w:style w:type="character" w:styleId="Accentuationlgre">
    <w:name w:val="Subtle Emphasis"/>
    <w:uiPriority w:val="19"/>
    <w:qFormat/>
    <w:rsid w:val="003272FA"/>
    <w:rPr>
      <w:rFonts w:ascii="Verdana" w:hAnsi="Verdana"/>
      <w:b w:val="0"/>
      <w:bCs w:val="0"/>
      <w:i w:val="0"/>
      <w:iCs w:val="0"/>
      <w:color w:val="auto"/>
      <w:sz w:val="20"/>
    </w:rPr>
  </w:style>
  <w:style w:type="paragraph" w:styleId="En-tte">
    <w:name w:val="header"/>
    <w:basedOn w:val="Normal"/>
    <w:link w:val="En-tteCar"/>
    <w:autoRedefine/>
    <w:uiPriority w:val="99"/>
    <w:unhideWhenUsed/>
    <w:qFormat/>
    <w:rsid w:val="00EA53EB"/>
    <w:pPr>
      <w:tabs>
        <w:tab w:val="center" w:pos="4536"/>
        <w:tab w:val="right" w:pos="9072"/>
      </w:tabs>
      <w:spacing w:after="0"/>
    </w:pPr>
    <w:rPr>
      <w:rFonts w:eastAsia="Yu Mincho"/>
      <w:color w:val="0B1A34"/>
      <w:lang w:eastAsia="ja-JP"/>
    </w:rPr>
  </w:style>
  <w:style w:type="character" w:customStyle="1" w:styleId="En-tteCar">
    <w:name w:val="En-tête Car"/>
    <w:link w:val="En-tte"/>
    <w:uiPriority w:val="99"/>
    <w:rsid w:val="00EA53EB"/>
    <w:rPr>
      <w:rFonts w:ascii="Verdana" w:hAnsi="Verdana"/>
      <w:color w:val="0B1A34"/>
      <w:sz w:val="18"/>
      <w:szCs w:val="24"/>
    </w:rPr>
  </w:style>
  <w:style w:type="paragraph" w:styleId="Pieddepage">
    <w:name w:val="footer"/>
    <w:link w:val="PieddepageCar"/>
    <w:autoRedefine/>
    <w:uiPriority w:val="99"/>
    <w:unhideWhenUsed/>
    <w:rsid w:val="00F1530D"/>
    <w:pPr>
      <w:tabs>
        <w:tab w:val="center" w:pos="4536"/>
        <w:tab w:val="right" w:pos="9072"/>
      </w:tabs>
      <w:jc w:val="center"/>
    </w:pPr>
    <w:rPr>
      <w:rFonts w:ascii="Verdana" w:hAnsi="Verdana"/>
      <w:color w:val="0B1A34"/>
      <w:sz w:val="15"/>
      <w:szCs w:val="14"/>
    </w:rPr>
  </w:style>
  <w:style w:type="character" w:customStyle="1" w:styleId="PieddepageCar">
    <w:name w:val="Pied de page Car"/>
    <w:link w:val="Pieddepage"/>
    <w:uiPriority w:val="99"/>
    <w:rsid w:val="00F1530D"/>
    <w:rPr>
      <w:rFonts w:ascii="Verdana" w:hAnsi="Verdana"/>
      <w:color w:val="0B1A34"/>
      <w:sz w:val="15"/>
      <w:szCs w:val="14"/>
    </w:rPr>
  </w:style>
  <w:style w:type="paragraph" w:styleId="Sous-titre">
    <w:name w:val="Subtitle"/>
    <w:basedOn w:val="Titre2"/>
    <w:next w:val="Normal"/>
    <w:link w:val="Sous-titreCar"/>
    <w:uiPriority w:val="11"/>
    <w:qFormat/>
    <w:rsid w:val="00901FC5"/>
    <w:pPr>
      <w:spacing w:before="0" w:after="500"/>
      <w:jc w:val="center"/>
    </w:pPr>
    <w:rPr>
      <w:iCs/>
      <w:spacing w:val="5"/>
      <w:szCs w:val="22"/>
    </w:rPr>
  </w:style>
  <w:style w:type="character" w:customStyle="1" w:styleId="Sous-titreCar">
    <w:name w:val="Sous-titre Car"/>
    <w:link w:val="Sous-titre"/>
    <w:uiPriority w:val="11"/>
    <w:rsid w:val="00901FC5"/>
    <w:rPr>
      <w:rFonts w:ascii="Verdana" w:eastAsia="Yu Gothic Light" w:hAnsi="Verdana"/>
      <w:b/>
      <w:iCs/>
      <w:color w:val="30476E"/>
      <w:spacing w:val="5"/>
      <w:sz w:val="24"/>
      <w:szCs w:val="22"/>
    </w:rPr>
  </w:style>
  <w:style w:type="character" w:styleId="Accentuation">
    <w:name w:val="Emphasis"/>
    <w:uiPriority w:val="20"/>
    <w:qFormat/>
    <w:rsid w:val="00ED0B78"/>
    <w:rPr>
      <w:rFonts w:ascii="Trebuchet MS" w:hAnsi="Trebuchet MS"/>
      <w:b w:val="0"/>
      <w:i/>
      <w:iCs/>
    </w:rPr>
  </w:style>
  <w:style w:type="character" w:styleId="Accentuationintense">
    <w:name w:val="Intense Emphasis"/>
    <w:uiPriority w:val="21"/>
    <w:qFormat/>
    <w:rsid w:val="003272FA"/>
    <w:rPr>
      <w:rFonts w:ascii="Verdana" w:hAnsi="Verdana"/>
      <w:b/>
      <w:i/>
      <w:iCs/>
      <w:color w:val="30476E"/>
      <w:sz w:val="20"/>
    </w:rPr>
  </w:style>
  <w:style w:type="character" w:styleId="Numrodepage">
    <w:name w:val="page number"/>
    <w:basedOn w:val="Policepardfaut"/>
    <w:uiPriority w:val="99"/>
    <w:semiHidden/>
    <w:unhideWhenUsed/>
    <w:rsid w:val="008F6E49"/>
  </w:style>
  <w:style w:type="paragraph" w:styleId="En-ttedetabledesmatires">
    <w:name w:val="TOC Heading"/>
    <w:basedOn w:val="Titre1"/>
    <w:next w:val="Normal"/>
    <w:autoRedefine/>
    <w:uiPriority w:val="39"/>
    <w:unhideWhenUsed/>
    <w:qFormat/>
    <w:rsid w:val="002C1348"/>
    <w:pPr>
      <w:numPr>
        <w:numId w:val="18"/>
      </w:numPr>
      <w:outlineLvl w:val="9"/>
    </w:pPr>
    <w:rPr>
      <w:bCs/>
      <w:color w:val="auto"/>
      <w:sz w:val="24"/>
      <w:szCs w:val="28"/>
    </w:rPr>
  </w:style>
  <w:style w:type="paragraph" w:styleId="TM1">
    <w:name w:val="toc 1"/>
    <w:basedOn w:val="Normal"/>
    <w:next w:val="Normal"/>
    <w:uiPriority w:val="39"/>
    <w:unhideWhenUsed/>
    <w:rsid w:val="002E02CC"/>
    <w:pPr>
      <w:spacing w:before="120" w:after="120"/>
    </w:pPr>
    <w:rPr>
      <w:rFonts w:asciiTheme="minorHAnsi" w:hAnsiTheme="minorHAnsi" w:cstheme="minorHAnsi"/>
      <w:b/>
      <w:bCs/>
      <w:caps/>
      <w:sz w:val="20"/>
      <w:szCs w:val="20"/>
    </w:rPr>
  </w:style>
  <w:style w:type="paragraph" w:styleId="TM2">
    <w:name w:val="toc 2"/>
    <w:basedOn w:val="Normal"/>
    <w:next w:val="Normal"/>
    <w:autoRedefine/>
    <w:uiPriority w:val="39"/>
    <w:unhideWhenUsed/>
    <w:rsid w:val="008F6E49"/>
    <w:pPr>
      <w:spacing w:after="0"/>
      <w:ind w:left="180"/>
    </w:pPr>
    <w:rPr>
      <w:rFonts w:asciiTheme="minorHAnsi" w:hAnsiTheme="minorHAnsi" w:cstheme="minorHAnsi"/>
      <w:smallCaps/>
      <w:sz w:val="20"/>
      <w:szCs w:val="20"/>
    </w:rPr>
  </w:style>
  <w:style w:type="paragraph" w:styleId="TM3">
    <w:name w:val="toc 3"/>
    <w:basedOn w:val="Normal"/>
    <w:next w:val="Normal"/>
    <w:autoRedefine/>
    <w:uiPriority w:val="39"/>
    <w:unhideWhenUsed/>
    <w:rsid w:val="008F6E49"/>
    <w:pPr>
      <w:spacing w:after="0"/>
      <w:ind w:left="360"/>
    </w:pPr>
    <w:rPr>
      <w:rFonts w:asciiTheme="minorHAnsi" w:hAnsiTheme="minorHAnsi" w:cstheme="minorHAnsi"/>
      <w:i/>
      <w:iCs/>
      <w:sz w:val="20"/>
      <w:szCs w:val="20"/>
    </w:rPr>
  </w:style>
  <w:style w:type="paragraph" w:styleId="TM4">
    <w:name w:val="toc 4"/>
    <w:basedOn w:val="Normal"/>
    <w:next w:val="Normal"/>
    <w:autoRedefine/>
    <w:uiPriority w:val="39"/>
    <w:unhideWhenUsed/>
    <w:rsid w:val="008F6E49"/>
    <w:pPr>
      <w:spacing w:after="0"/>
      <w:ind w:left="540"/>
    </w:pPr>
    <w:rPr>
      <w:rFonts w:asciiTheme="minorHAnsi" w:hAnsiTheme="minorHAnsi" w:cstheme="minorHAnsi"/>
      <w:szCs w:val="18"/>
    </w:rPr>
  </w:style>
  <w:style w:type="paragraph" w:styleId="TM5">
    <w:name w:val="toc 5"/>
    <w:basedOn w:val="Normal"/>
    <w:next w:val="Normal"/>
    <w:autoRedefine/>
    <w:uiPriority w:val="39"/>
    <w:unhideWhenUsed/>
    <w:rsid w:val="008F6E49"/>
    <w:pPr>
      <w:spacing w:after="0"/>
      <w:ind w:left="720"/>
    </w:pPr>
    <w:rPr>
      <w:rFonts w:asciiTheme="minorHAnsi" w:hAnsiTheme="minorHAnsi" w:cstheme="minorHAnsi"/>
      <w:szCs w:val="18"/>
    </w:rPr>
  </w:style>
  <w:style w:type="paragraph" w:styleId="TM6">
    <w:name w:val="toc 6"/>
    <w:basedOn w:val="Normal"/>
    <w:next w:val="Normal"/>
    <w:autoRedefine/>
    <w:uiPriority w:val="39"/>
    <w:unhideWhenUsed/>
    <w:rsid w:val="008F6E49"/>
    <w:pPr>
      <w:spacing w:after="0"/>
      <w:ind w:left="900"/>
    </w:pPr>
    <w:rPr>
      <w:rFonts w:asciiTheme="minorHAnsi" w:hAnsiTheme="minorHAnsi" w:cstheme="minorHAnsi"/>
      <w:szCs w:val="18"/>
    </w:rPr>
  </w:style>
  <w:style w:type="paragraph" w:styleId="TM7">
    <w:name w:val="toc 7"/>
    <w:basedOn w:val="Normal"/>
    <w:next w:val="Normal"/>
    <w:autoRedefine/>
    <w:uiPriority w:val="39"/>
    <w:unhideWhenUsed/>
    <w:rsid w:val="008F6E49"/>
    <w:pPr>
      <w:spacing w:after="0"/>
      <w:ind w:left="1080"/>
    </w:pPr>
    <w:rPr>
      <w:rFonts w:asciiTheme="minorHAnsi" w:hAnsiTheme="minorHAnsi" w:cstheme="minorHAnsi"/>
      <w:szCs w:val="18"/>
    </w:rPr>
  </w:style>
  <w:style w:type="paragraph" w:styleId="TM8">
    <w:name w:val="toc 8"/>
    <w:basedOn w:val="Normal"/>
    <w:next w:val="Normal"/>
    <w:autoRedefine/>
    <w:uiPriority w:val="39"/>
    <w:unhideWhenUsed/>
    <w:rsid w:val="008F6E49"/>
    <w:pPr>
      <w:spacing w:after="0"/>
      <w:ind w:left="1260"/>
    </w:pPr>
    <w:rPr>
      <w:rFonts w:asciiTheme="minorHAnsi" w:hAnsiTheme="minorHAnsi" w:cstheme="minorHAnsi"/>
      <w:szCs w:val="18"/>
    </w:rPr>
  </w:style>
  <w:style w:type="paragraph" w:styleId="TM9">
    <w:name w:val="toc 9"/>
    <w:basedOn w:val="Normal"/>
    <w:next w:val="Normal"/>
    <w:autoRedefine/>
    <w:uiPriority w:val="39"/>
    <w:unhideWhenUsed/>
    <w:rsid w:val="008F6E49"/>
    <w:pPr>
      <w:spacing w:after="0"/>
      <w:ind w:left="1440"/>
    </w:pPr>
    <w:rPr>
      <w:rFonts w:asciiTheme="minorHAnsi" w:hAnsiTheme="minorHAnsi" w:cstheme="minorHAnsi"/>
      <w:szCs w:val="18"/>
    </w:rPr>
  </w:style>
  <w:style w:type="character" w:customStyle="1" w:styleId="Titre5Car">
    <w:name w:val="Titre 5 Car"/>
    <w:basedOn w:val="Policepardfaut"/>
    <w:link w:val="Titre5"/>
    <w:uiPriority w:val="9"/>
    <w:rsid w:val="00750280"/>
    <w:rPr>
      <w:rFonts w:ascii="Verdana" w:eastAsiaTheme="majorEastAsia" w:hAnsi="Verdana" w:cs="Times New Roman (Titres CS)"/>
      <w:i/>
      <w:color w:val="0B1A34"/>
      <w:sz w:val="22"/>
      <w:szCs w:val="24"/>
    </w:rPr>
  </w:style>
  <w:style w:type="numbering" w:customStyle="1" w:styleId="A42-puceniveau1-002">
    <w:name w:val="A42-puce_niveau1-002"/>
    <w:basedOn w:val="Aucuneliste"/>
    <w:rsid w:val="00D33A0F"/>
    <w:pPr>
      <w:numPr>
        <w:numId w:val="1"/>
      </w:numPr>
    </w:pPr>
  </w:style>
  <w:style w:type="character" w:styleId="Lienhypertexte">
    <w:name w:val="Hyperlink"/>
    <w:uiPriority w:val="99"/>
    <w:unhideWhenUsed/>
    <w:qFormat/>
    <w:rsid w:val="00940F0E"/>
    <w:rPr>
      <w:rFonts w:ascii="Verdana" w:hAnsi="Verdana"/>
      <w:color w:val="962E3E"/>
      <w:sz w:val="18"/>
      <w:u w:val="single"/>
    </w:rPr>
  </w:style>
  <w:style w:type="character" w:styleId="Lienhypertextesuivivisit">
    <w:name w:val="FollowedHyperlink"/>
    <w:basedOn w:val="Policepardfaut"/>
    <w:uiPriority w:val="99"/>
    <w:unhideWhenUsed/>
    <w:qFormat/>
    <w:rsid w:val="00940F0E"/>
    <w:rPr>
      <w:rFonts w:ascii="Verdana" w:hAnsi="Verdana"/>
      <w:b w:val="0"/>
      <w:i w:val="0"/>
      <w:color w:val="962E3E"/>
      <w:sz w:val="18"/>
      <w:u w:val="single"/>
    </w:rPr>
  </w:style>
  <w:style w:type="character" w:customStyle="1" w:styleId="Titre6Car">
    <w:name w:val="Titre 6 Car"/>
    <w:basedOn w:val="Policepardfaut"/>
    <w:link w:val="Titre6"/>
    <w:uiPriority w:val="9"/>
    <w:rsid w:val="00750280"/>
    <w:rPr>
      <w:rFonts w:ascii="Verdana" w:eastAsiaTheme="majorEastAsia" w:hAnsi="Verdana" w:cs="Times New Roman (Titres CS)"/>
      <w:b/>
      <w:iCs/>
      <w:color w:val="30476E"/>
      <w:kern w:val="3"/>
      <w:sz w:val="21"/>
      <w:szCs w:val="24"/>
      <w:lang w:eastAsia="zh-CN" w:bidi="hi-IN"/>
    </w:rPr>
  </w:style>
  <w:style w:type="character" w:customStyle="1" w:styleId="LienInternet">
    <w:name w:val="Lien Internet"/>
    <w:basedOn w:val="Policepardfaut"/>
    <w:uiPriority w:val="99"/>
    <w:unhideWhenUsed/>
    <w:qFormat/>
    <w:rsid w:val="00940F0E"/>
    <w:rPr>
      <w:rFonts w:ascii="Verdana" w:hAnsi="Verdana"/>
      <w:b w:val="0"/>
      <w:i w:val="0"/>
      <w:color w:val="962E3E"/>
      <w:sz w:val="18"/>
      <w:u w:val="single"/>
    </w:rPr>
  </w:style>
  <w:style w:type="paragraph" w:customStyle="1" w:styleId="Lienhypertexteen-tte">
    <w:name w:val="Lien hypertexte en-tête"/>
    <w:basedOn w:val="En-ttedroite"/>
    <w:autoRedefine/>
    <w:qFormat/>
    <w:rsid w:val="00A01C3A"/>
    <w:rPr>
      <w:color w:val="962E3E"/>
      <w:u w:val="single"/>
    </w:rPr>
  </w:style>
  <w:style w:type="table" w:customStyle="1" w:styleId="Tableau">
    <w:name w:val="T&quot;ableau"/>
    <w:basedOn w:val="TableauNormal"/>
    <w:uiPriority w:val="99"/>
    <w:rsid w:val="00744272"/>
    <w:rPr>
      <w:rFonts w:ascii="Trebuchet MS" w:hAnsi="Trebuchet MS"/>
      <w:sz w:val="24"/>
    </w:rPr>
    <w:tblPr>
      <w:tblBorders>
        <w:top w:val="single" w:sz="4" w:space="0" w:color="7D829A"/>
        <w:left w:val="single" w:sz="4" w:space="0" w:color="7D829A"/>
        <w:bottom w:val="single" w:sz="4" w:space="0" w:color="7D829A"/>
        <w:right w:val="single" w:sz="4" w:space="0" w:color="7D829A"/>
        <w:insideH w:val="single" w:sz="4" w:space="0" w:color="7D829A"/>
        <w:insideV w:val="single" w:sz="4" w:space="0" w:color="7D829A"/>
      </w:tblBorders>
    </w:tblPr>
  </w:style>
  <w:style w:type="table" w:customStyle="1" w:styleId="Tableau0">
    <w:name w:val="Tableau"/>
    <w:basedOn w:val="TableauNormal"/>
    <w:uiPriority w:val="99"/>
    <w:rsid w:val="00744272"/>
    <w:rPr>
      <w:rFonts w:ascii="Trebuchet MS" w:hAnsi="Trebuchet MS"/>
      <w:sz w:val="24"/>
    </w:rPr>
    <w:tblPr/>
  </w:style>
  <w:style w:type="table" w:customStyle="1" w:styleId="TableauA42">
    <w:name w:val="Tableau A42"/>
    <w:basedOn w:val="TableauNormal"/>
    <w:uiPriority w:val="99"/>
    <w:rsid w:val="002658FD"/>
    <w:pPr>
      <w:spacing w:before="200" w:after="200"/>
    </w:pPr>
    <w:rPr>
      <w:rFonts w:ascii="Trebuchet MS" w:hAnsi="Trebuchet MS"/>
      <w:sz w:val="24"/>
    </w:rPr>
    <w:tblPr>
      <w:tblBorders>
        <w:top w:val="single" w:sz="8" w:space="0" w:color="7D829A"/>
        <w:left w:val="single" w:sz="8" w:space="0" w:color="7D829A"/>
        <w:bottom w:val="single" w:sz="8" w:space="0" w:color="7D829A"/>
        <w:right w:val="single" w:sz="8" w:space="0" w:color="7D829A"/>
        <w:insideH w:val="single" w:sz="8" w:space="0" w:color="7D829A"/>
        <w:insideV w:val="single" w:sz="8" w:space="0" w:color="7D829A"/>
      </w:tblBorders>
    </w:tblPr>
    <w:tcPr>
      <w:shd w:val="clear" w:color="auto" w:fill="auto"/>
    </w:tcPr>
    <w:tblStylePr w:type="firstRow">
      <w:rPr>
        <w:rFonts w:ascii="Trebuchet MS" w:hAnsi="Trebuchet MS"/>
        <w:b/>
        <w:bCs/>
        <w:i w:val="0"/>
        <w:iCs w:val="0"/>
        <w:sz w:val="24"/>
      </w:rPr>
      <w:tblPr/>
      <w:tcPr>
        <w:shd w:val="clear" w:color="auto" w:fill="E3EBF3"/>
      </w:tcPr>
    </w:tblStylePr>
  </w:style>
  <w:style w:type="table" w:styleId="Grilledutableau">
    <w:name w:val="Table Grid"/>
    <w:basedOn w:val="TableauNormal"/>
    <w:uiPriority w:val="39"/>
    <w:rsid w:val="002872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After">
    <w:name w:val="TableAfter"/>
    <w:basedOn w:val="Normal"/>
    <w:next w:val="Normal"/>
    <w:autoRedefine/>
    <w:qFormat/>
    <w:rsid w:val="00DC7BFE"/>
    <w:pPr>
      <w:spacing w:before="400"/>
    </w:pPr>
    <w:rPr>
      <w:rFonts w:eastAsia="Yu Mincho"/>
      <w:color w:val="000000" w:themeColor="text1"/>
      <w:lang w:eastAsia="ja-JP"/>
    </w:rPr>
  </w:style>
  <w:style w:type="character" w:styleId="SmartHyperlink">
    <w:name w:val="Smart Hyperlink"/>
    <w:basedOn w:val="LienInternet"/>
    <w:uiPriority w:val="99"/>
    <w:unhideWhenUsed/>
    <w:qFormat/>
    <w:rsid w:val="00940F0E"/>
    <w:rPr>
      <w:rFonts w:ascii="Verdana" w:hAnsi="Verdana"/>
      <w:b w:val="0"/>
      <w:i w:val="0"/>
      <w:color w:val="962E3E"/>
      <w:sz w:val="18"/>
      <w:u w:val="dotted"/>
    </w:rPr>
  </w:style>
  <w:style w:type="character" w:styleId="Mentionnonrsolue">
    <w:name w:val="Unresolved Mention"/>
    <w:basedOn w:val="Policepardfaut"/>
    <w:uiPriority w:val="99"/>
    <w:rsid w:val="00651F09"/>
    <w:rPr>
      <w:color w:val="808080"/>
      <w:shd w:val="clear" w:color="auto" w:fill="E6E6E6"/>
    </w:rPr>
  </w:style>
  <w:style w:type="paragraph" w:styleId="Lgende">
    <w:name w:val="caption"/>
    <w:basedOn w:val="Normal"/>
    <w:next w:val="Normal"/>
    <w:autoRedefine/>
    <w:uiPriority w:val="35"/>
    <w:unhideWhenUsed/>
    <w:qFormat/>
    <w:rsid w:val="00FD5EE1"/>
    <w:pPr>
      <w:spacing w:before="100" w:beforeAutospacing="1" w:after="400"/>
      <w:ind w:left="284" w:right="284"/>
    </w:pPr>
    <w:rPr>
      <w:rFonts w:eastAsia="Yu Mincho"/>
      <w:iCs/>
      <w:color w:val="30476E"/>
      <w:szCs w:val="18"/>
      <w:lang w:eastAsia="ja-JP"/>
    </w:rPr>
  </w:style>
  <w:style w:type="character" w:styleId="Rfrencelgre">
    <w:name w:val="Subtle Reference"/>
    <w:basedOn w:val="Policepardfaut"/>
    <w:uiPriority w:val="31"/>
    <w:qFormat/>
    <w:rsid w:val="00957046"/>
    <w:rPr>
      <w:rFonts w:ascii="Verdana" w:hAnsi="Verdana"/>
      <w:b w:val="0"/>
      <w:i w:val="0"/>
      <w:caps w:val="0"/>
      <w:smallCaps/>
      <w:strike w:val="0"/>
      <w:dstrike w:val="0"/>
      <w:vanish w:val="0"/>
      <w:color w:val="auto"/>
      <w:sz w:val="18"/>
      <w:vertAlign w:val="baseline"/>
    </w:rPr>
  </w:style>
  <w:style w:type="character" w:styleId="Rfrenceintense">
    <w:name w:val="Intense Reference"/>
    <w:basedOn w:val="Policepardfaut"/>
    <w:uiPriority w:val="32"/>
    <w:qFormat/>
    <w:rsid w:val="00957046"/>
    <w:rPr>
      <w:rFonts w:ascii="Verdana" w:hAnsi="Verdana"/>
      <w:b/>
      <w:bCs/>
      <w:i w:val="0"/>
      <w:caps w:val="0"/>
      <w:smallCaps/>
      <w:strike w:val="0"/>
      <w:dstrike w:val="0"/>
      <w:vanish w:val="0"/>
      <w:color w:val="962E3E"/>
      <w:spacing w:val="5"/>
      <w:sz w:val="18"/>
      <w:vertAlign w:val="baseline"/>
    </w:rPr>
  </w:style>
  <w:style w:type="character" w:styleId="Titredulivre">
    <w:name w:val="Book Title"/>
    <w:basedOn w:val="Policepardfaut"/>
    <w:uiPriority w:val="33"/>
    <w:qFormat/>
    <w:rsid w:val="00957046"/>
    <w:rPr>
      <w:rFonts w:ascii="Verdana" w:hAnsi="Verdana"/>
      <w:b/>
      <w:bCs/>
      <w:i/>
      <w:iCs/>
      <w:color w:val="auto"/>
      <w:spacing w:val="0"/>
      <w:kern w:val="0"/>
      <w:sz w:val="18"/>
    </w:rPr>
  </w:style>
  <w:style w:type="paragraph" w:styleId="Adresseexpditeur">
    <w:name w:val="envelope return"/>
    <w:basedOn w:val="Normal"/>
    <w:uiPriority w:val="99"/>
    <w:unhideWhenUsed/>
    <w:rsid w:val="00810F8A"/>
    <w:pPr>
      <w:spacing w:after="0"/>
    </w:pPr>
    <w:rPr>
      <w:rFonts w:asciiTheme="majorHAnsi" w:eastAsiaTheme="majorEastAsia" w:hAnsiTheme="majorHAnsi" w:cstheme="majorBidi"/>
      <w:color w:val="000000" w:themeColor="text1"/>
      <w:sz w:val="20"/>
      <w:szCs w:val="20"/>
      <w:lang w:eastAsia="ja-JP"/>
    </w:rPr>
  </w:style>
  <w:style w:type="paragraph" w:styleId="Citationintense">
    <w:name w:val="Intense Quote"/>
    <w:basedOn w:val="Normal"/>
    <w:next w:val="Normal"/>
    <w:link w:val="CitationintenseCar"/>
    <w:autoRedefine/>
    <w:uiPriority w:val="30"/>
    <w:qFormat/>
    <w:rsid w:val="001B1ED3"/>
    <w:pPr>
      <w:pBdr>
        <w:top w:val="single" w:sz="4" w:space="10" w:color="30476E"/>
        <w:bottom w:val="single" w:sz="4" w:space="10" w:color="30476E"/>
      </w:pBdr>
      <w:spacing w:before="360" w:after="360" w:line="360" w:lineRule="exact"/>
      <w:ind w:left="862" w:right="862"/>
      <w:jc w:val="center"/>
    </w:pPr>
    <w:rPr>
      <w:rFonts w:eastAsia="Yu Mincho"/>
      <w:i/>
      <w:iCs/>
      <w:color w:val="30476E"/>
      <w:sz w:val="20"/>
      <w:lang w:eastAsia="ja-JP"/>
    </w:rPr>
  </w:style>
  <w:style w:type="character" w:customStyle="1" w:styleId="CitationintenseCar">
    <w:name w:val="Citation intense Car"/>
    <w:basedOn w:val="Policepardfaut"/>
    <w:link w:val="Citationintense"/>
    <w:uiPriority w:val="30"/>
    <w:rsid w:val="001B1ED3"/>
    <w:rPr>
      <w:rFonts w:ascii="Verdana" w:hAnsi="Verdana"/>
      <w:i/>
      <w:iCs/>
      <w:color w:val="30476E"/>
      <w:szCs w:val="24"/>
    </w:rPr>
  </w:style>
  <w:style w:type="paragraph" w:styleId="Citation">
    <w:name w:val="Quote"/>
    <w:basedOn w:val="Normal"/>
    <w:next w:val="Normal"/>
    <w:link w:val="CitationCar"/>
    <w:autoRedefine/>
    <w:uiPriority w:val="29"/>
    <w:qFormat/>
    <w:rsid w:val="00EB503B"/>
    <w:pPr>
      <w:spacing w:before="360" w:after="360"/>
      <w:ind w:left="862" w:right="862"/>
      <w:jc w:val="center"/>
    </w:pPr>
    <w:rPr>
      <w:rFonts w:eastAsia="Yu Mincho"/>
      <w:i/>
      <w:iCs/>
      <w:lang w:eastAsia="ja-JP"/>
    </w:rPr>
  </w:style>
  <w:style w:type="character" w:customStyle="1" w:styleId="CitationCar">
    <w:name w:val="Citation Car"/>
    <w:basedOn w:val="Policepardfaut"/>
    <w:link w:val="Citation"/>
    <w:uiPriority w:val="29"/>
    <w:rsid w:val="00EB503B"/>
    <w:rPr>
      <w:rFonts w:ascii="Trebuchet MS" w:hAnsi="Trebuchet MS"/>
      <w:i/>
      <w:iCs/>
      <w:sz w:val="24"/>
      <w:szCs w:val="24"/>
    </w:rPr>
  </w:style>
  <w:style w:type="paragraph" w:styleId="Listenumros">
    <w:name w:val="List Number"/>
    <w:basedOn w:val="Normal"/>
    <w:autoRedefine/>
    <w:uiPriority w:val="99"/>
    <w:unhideWhenUsed/>
    <w:qFormat/>
    <w:rsid w:val="00384017"/>
    <w:pPr>
      <w:numPr>
        <w:numId w:val="11"/>
      </w:numPr>
      <w:spacing w:before="200"/>
      <w:ind w:left="714" w:hanging="357"/>
    </w:pPr>
    <w:rPr>
      <w:rFonts w:eastAsia="Yu Mincho"/>
      <w:color w:val="000000" w:themeColor="text1"/>
      <w:lang w:eastAsia="ja-JP"/>
    </w:rPr>
  </w:style>
  <w:style w:type="paragraph" w:styleId="Normalcentr">
    <w:name w:val="Block Text"/>
    <w:basedOn w:val="Normal"/>
    <w:autoRedefine/>
    <w:uiPriority w:val="99"/>
    <w:unhideWhenUsed/>
    <w:qFormat/>
    <w:rsid w:val="00E5030F"/>
    <w:pPr>
      <w:pBdr>
        <w:top w:val="single" w:sz="4" w:space="10" w:color="30476E"/>
        <w:left w:val="single" w:sz="4" w:space="10" w:color="30476E"/>
        <w:bottom w:val="single" w:sz="4" w:space="10" w:color="30476E"/>
        <w:right w:val="single" w:sz="4" w:space="10" w:color="30476E"/>
      </w:pBdr>
      <w:spacing w:before="360" w:after="360"/>
      <w:ind w:left="1151" w:right="1151"/>
    </w:pPr>
    <w:rPr>
      <w:rFonts w:eastAsiaTheme="minorEastAsia" w:cstheme="minorBidi"/>
      <w:i/>
      <w:iCs/>
      <w:color w:val="30476E"/>
      <w:lang w:eastAsia="ja-JP"/>
    </w:rPr>
  </w:style>
  <w:style w:type="paragraph" w:styleId="Notedebasdepage">
    <w:name w:val="footnote text"/>
    <w:basedOn w:val="Normal"/>
    <w:link w:val="NotedebasdepageCar"/>
    <w:autoRedefine/>
    <w:uiPriority w:val="99"/>
    <w:unhideWhenUsed/>
    <w:qFormat/>
    <w:rsid w:val="00FD51AE"/>
    <w:pPr>
      <w:spacing w:after="0"/>
    </w:pPr>
    <w:rPr>
      <w:rFonts w:eastAsia="Yu Mincho"/>
      <w:sz w:val="16"/>
      <w:szCs w:val="20"/>
      <w:lang w:eastAsia="ja-JP"/>
    </w:rPr>
  </w:style>
  <w:style w:type="character" w:customStyle="1" w:styleId="NotedebasdepageCar">
    <w:name w:val="Note de bas de page Car"/>
    <w:basedOn w:val="Policepardfaut"/>
    <w:link w:val="Notedebasdepage"/>
    <w:uiPriority w:val="99"/>
    <w:rsid w:val="00FD51AE"/>
    <w:rPr>
      <w:rFonts w:ascii="Verdana" w:hAnsi="Verdana"/>
      <w:sz w:val="16"/>
    </w:rPr>
  </w:style>
  <w:style w:type="character" w:styleId="Appelnotedebasdep">
    <w:name w:val="footnote reference"/>
    <w:basedOn w:val="Policepardfaut"/>
    <w:uiPriority w:val="99"/>
    <w:semiHidden/>
    <w:unhideWhenUsed/>
    <w:rsid w:val="00417D02"/>
    <w:rPr>
      <w:vertAlign w:val="superscript"/>
    </w:rPr>
  </w:style>
  <w:style w:type="paragraph" w:styleId="Notedefin">
    <w:name w:val="endnote text"/>
    <w:basedOn w:val="Normal"/>
    <w:link w:val="NotedefinCar"/>
    <w:uiPriority w:val="99"/>
    <w:unhideWhenUsed/>
    <w:rsid w:val="00B7005A"/>
    <w:pPr>
      <w:spacing w:after="0"/>
    </w:pPr>
    <w:rPr>
      <w:rFonts w:eastAsia="Yu Mincho"/>
      <w:color w:val="000000" w:themeColor="text1"/>
      <w:sz w:val="20"/>
      <w:szCs w:val="20"/>
      <w:lang w:eastAsia="ja-JP"/>
    </w:rPr>
  </w:style>
  <w:style w:type="character" w:customStyle="1" w:styleId="NotedefinCar">
    <w:name w:val="Note de fin Car"/>
    <w:basedOn w:val="Policepardfaut"/>
    <w:link w:val="Notedefin"/>
    <w:uiPriority w:val="99"/>
    <w:rsid w:val="00B7005A"/>
    <w:rPr>
      <w:rFonts w:ascii="Trebuchet MS" w:hAnsi="Trebuchet MS"/>
      <w:color w:val="0B1A34"/>
    </w:rPr>
  </w:style>
  <w:style w:type="character" w:customStyle="1" w:styleId="Code">
    <w:name w:val="Code"/>
    <w:basedOn w:val="Policepardfaut"/>
    <w:uiPriority w:val="1"/>
    <w:qFormat/>
    <w:rsid w:val="0024080C"/>
    <w:rPr>
      <w:rFonts w:ascii="Courier" w:hAnsi="Courier"/>
      <w:color w:val="0B1A34"/>
      <w:sz w:val="19"/>
      <w:bdr w:val="none" w:sz="0" w:space="0" w:color="auto"/>
      <w:shd w:val="clear" w:color="auto" w:fill="E3EBF3"/>
    </w:rPr>
  </w:style>
  <w:style w:type="paragraph" w:customStyle="1" w:styleId="Titre1pleinepage">
    <w:name w:val="Titre 1 pleine page"/>
    <w:basedOn w:val="Titre1"/>
    <w:next w:val="Normal"/>
    <w:autoRedefine/>
    <w:qFormat/>
    <w:rsid w:val="00750280"/>
    <w:pPr>
      <w:spacing w:before="500" w:after="500"/>
      <w:jc w:val="center"/>
    </w:pPr>
    <w:rPr>
      <w:b w:val="0"/>
      <w:smallCaps/>
      <w:sz w:val="52"/>
    </w:rPr>
  </w:style>
  <w:style w:type="character" w:styleId="lev">
    <w:name w:val="Strong"/>
    <w:basedOn w:val="Policepardfaut"/>
    <w:uiPriority w:val="22"/>
    <w:qFormat/>
    <w:rsid w:val="009531D0"/>
    <w:rPr>
      <w:rFonts w:ascii="Trebuchet MS" w:hAnsi="Trebuchet MS"/>
      <w:b w:val="0"/>
      <w:bCs/>
      <w:i w:val="0"/>
    </w:rPr>
  </w:style>
  <w:style w:type="paragraph" w:styleId="Listenumros2">
    <w:name w:val="List Number 2"/>
    <w:basedOn w:val="Normal"/>
    <w:uiPriority w:val="99"/>
    <w:semiHidden/>
    <w:unhideWhenUsed/>
    <w:rsid w:val="00CF4DB5"/>
    <w:pPr>
      <w:numPr>
        <w:numId w:val="10"/>
      </w:numPr>
      <w:ind w:left="1003"/>
      <w:contextualSpacing/>
    </w:pPr>
    <w:rPr>
      <w:rFonts w:eastAsia="Yu Mincho"/>
      <w:color w:val="000000" w:themeColor="text1"/>
      <w:lang w:eastAsia="ja-JP"/>
    </w:rPr>
  </w:style>
  <w:style w:type="paragraph" w:styleId="Listenumros3">
    <w:name w:val="List Number 3"/>
    <w:basedOn w:val="Normal"/>
    <w:uiPriority w:val="99"/>
    <w:semiHidden/>
    <w:unhideWhenUsed/>
    <w:rsid w:val="00CF4DB5"/>
    <w:pPr>
      <w:numPr>
        <w:numId w:val="9"/>
      </w:numPr>
      <w:ind w:left="1286"/>
      <w:contextualSpacing/>
    </w:pPr>
    <w:rPr>
      <w:rFonts w:eastAsia="Yu Mincho"/>
      <w:color w:val="000000" w:themeColor="text1"/>
      <w:lang w:eastAsia="ja-JP"/>
    </w:rPr>
  </w:style>
  <w:style w:type="paragraph" w:styleId="Listenumros4">
    <w:name w:val="List Number 4"/>
    <w:basedOn w:val="Normal"/>
    <w:uiPriority w:val="99"/>
    <w:semiHidden/>
    <w:unhideWhenUsed/>
    <w:rsid w:val="00CF4DB5"/>
    <w:pPr>
      <w:numPr>
        <w:numId w:val="8"/>
      </w:numPr>
      <w:ind w:left="1569"/>
      <w:contextualSpacing/>
    </w:pPr>
    <w:rPr>
      <w:rFonts w:eastAsia="Yu Mincho"/>
      <w:color w:val="000000" w:themeColor="text1"/>
      <w:lang w:eastAsia="ja-JP"/>
    </w:rPr>
  </w:style>
  <w:style w:type="paragraph" w:styleId="Listenumros5">
    <w:name w:val="List Number 5"/>
    <w:basedOn w:val="Normal"/>
    <w:uiPriority w:val="99"/>
    <w:semiHidden/>
    <w:unhideWhenUsed/>
    <w:rsid w:val="00CF4DB5"/>
    <w:pPr>
      <w:numPr>
        <w:numId w:val="7"/>
      </w:numPr>
      <w:ind w:left="1852"/>
      <w:contextualSpacing/>
    </w:pPr>
    <w:rPr>
      <w:rFonts w:eastAsia="Yu Mincho"/>
      <w:color w:val="000000" w:themeColor="text1"/>
      <w:lang w:eastAsia="ja-JP"/>
    </w:rPr>
  </w:style>
  <w:style w:type="paragraph" w:styleId="Listepuces">
    <w:name w:val="List Bullet"/>
    <w:basedOn w:val="Normal"/>
    <w:uiPriority w:val="99"/>
    <w:semiHidden/>
    <w:unhideWhenUsed/>
    <w:rsid w:val="00CF4DB5"/>
    <w:pPr>
      <w:numPr>
        <w:numId w:val="6"/>
      </w:numPr>
      <w:ind w:left="720"/>
      <w:contextualSpacing/>
    </w:pPr>
    <w:rPr>
      <w:rFonts w:eastAsia="Yu Mincho"/>
      <w:color w:val="000000" w:themeColor="text1"/>
      <w:lang w:eastAsia="ja-JP"/>
    </w:rPr>
  </w:style>
  <w:style w:type="paragraph" w:styleId="Listepuces4">
    <w:name w:val="List Bullet 4"/>
    <w:basedOn w:val="Normal"/>
    <w:uiPriority w:val="99"/>
    <w:semiHidden/>
    <w:unhideWhenUsed/>
    <w:rsid w:val="00CF4DB5"/>
    <w:pPr>
      <w:numPr>
        <w:numId w:val="3"/>
      </w:numPr>
      <w:ind w:left="1569"/>
      <w:contextualSpacing/>
    </w:pPr>
    <w:rPr>
      <w:rFonts w:eastAsia="Yu Mincho"/>
      <w:color w:val="000000" w:themeColor="text1"/>
      <w:lang w:eastAsia="ja-JP"/>
    </w:rPr>
  </w:style>
  <w:style w:type="paragraph" w:styleId="Listepuces2">
    <w:name w:val="List Bullet 2"/>
    <w:basedOn w:val="Normal"/>
    <w:uiPriority w:val="99"/>
    <w:semiHidden/>
    <w:unhideWhenUsed/>
    <w:rsid w:val="00CF4DB5"/>
    <w:pPr>
      <w:numPr>
        <w:numId w:val="5"/>
      </w:numPr>
      <w:ind w:left="1003"/>
      <w:contextualSpacing/>
    </w:pPr>
    <w:rPr>
      <w:rFonts w:eastAsia="Yu Mincho"/>
      <w:color w:val="000000" w:themeColor="text1"/>
      <w:lang w:eastAsia="ja-JP"/>
    </w:rPr>
  </w:style>
  <w:style w:type="paragraph" w:styleId="Listepuces3">
    <w:name w:val="List Bullet 3"/>
    <w:basedOn w:val="Normal"/>
    <w:uiPriority w:val="99"/>
    <w:semiHidden/>
    <w:unhideWhenUsed/>
    <w:rsid w:val="00CF4DB5"/>
    <w:pPr>
      <w:numPr>
        <w:numId w:val="4"/>
      </w:numPr>
      <w:ind w:left="1286"/>
      <w:contextualSpacing/>
    </w:pPr>
    <w:rPr>
      <w:rFonts w:eastAsia="Yu Mincho"/>
      <w:color w:val="000000" w:themeColor="text1"/>
      <w:lang w:eastAsia="ja-JP"/>
    </w:rPr>
  </w:style>
  <w:style w:type="paragraph" w:styleId="Listepuces5">
    <w:name w:val="List Bullet 5"/>
    <w:basedOn w:val="Normal"/>
    <w:uiPriority w:val="99"/>
    <w:semiHidden/>
    <w:unhideWhenUsed/>
    <w:rsid w:val="00CF4DB5"/>
    <w:pPr>
      <w:numPr>
        <w:numId w:val="2"/>
      </w:numPr>
      <w:ind w:left="1852"/>
      <w:contextualSpacing/>
    </w:pPr>
    <w:rPr>
      <w:rFonts w:eastAsia="Yu Mincho"/>
      <w:color w:val="000000" w:themeColor="text1"/>
      <w:lang w:eastAsia="ja-JP"/>
    </w:rPr>
  </w:style>
  <w:style w:type="paragraph" w:customStyle="1" w:styleId="En-ttedroite">
    <w:name w:val="En-tête droite"/>
    <w:basedOn w:val="En-tte"/>
    <w:autoRedefine/>
    <w:qFormat/>
    <w:rsid w:val="00A01C3A"/>
    <w:pPr>
      <w:jc w:val="right"/>
    </w:pPr>
    <w:rPr>
      <w:szCs w:val="22"/>
    </w:rPr>
  </w:style>
  <w:style w:type="character" w:customStyle="1" w:styleId="Titre7Car">
    <w:name w:val="Titre 7 Car"/>
    <w:basedOn w:val="Policepardfaut"/>
    <w:link w:val="Titre7"/>
    <w:uiPriority w:val="9"/>
    <w:rsid w:val="00456AB2"/>
    <w:rPr>
      <w:rFonts w:ascii="Verdana" w:eastAsiaTheme="majorEastAsia" w:hAnsi="Verdana" w:cstheme="majorBidi"/>
      <w:b/>
      <w:i/>
      <w:iCs/>
      <w:color w:val="333543"/>
      <w:sz w:val="21"/>
      <w:szCs w:val="24"/>
    </w:rPr>
  </w:style>
  <w:style w:type="character" w:customStyle="1" w:styleId="Titre8Car">
    <w:name w:val="Titre 8 Car"/>
    <w:basedOn w:val="Policepardfaut"/>
    <w:link w:val="Titre8"/>
    <w:uiPriority w:val="9"/>
    <w:rsid w:val="00456AB2"/>
    <w:rPr>
      <w:rFonts w:ascii="Verdana" w:eastAsiaTheme="majorEastAsia" w:hAnsi="Verdana" w:cstheme="majorBidi"/>
      <w:b/>
      <w:color w:val="962E3E"/>
      <w:szCs w:val="21"/>
    </w:rPr>
  </w:style>
  <w:style w:type="character" w:customStyle="1" w:styleId="Titre9Car">
    <w:name w:val="Titre 9 Car"/>
    <w:basedOn w:val="Policepardfaut"/>
    <w:link w:val="Titre9"/>
    <w:uiPriority w:val="9"/>
    <w:rsid w:val="00456AB2"/>
    <w:rPr>
      <w:rFonts w:ascii="Verdana" w:eastAsiaTheme="majorEastAsia" w:hAnsi="Verdana" w:cstheme="majorBidi"/>
      <w:b/>
      <w:i/>
      <w:iCs/>
      <w:color w:val="0B1A34"/>
      <w:szCs w:val="21"/>
      <w:lang w:eastAsia="zh-CN" w:bidi="hi-IN"/>
    </w:rPr>
  </w:style>
  <w:style w:type="paragraph" w:styleId="Textedebulles">
    <w:name w:val="Balloon Text"/>
    <w:basedOn w:val="Normal"/>
    <w:link w:val="TextedebullesCar"/>
    <w:uiPriority w:val="99"/>
    <w:semiHidden/>
    <w:unhideWhenUsed/>
    <w:rsid w:val="00E224F3"/>
    <w:pPr>
      <w:spacing w:after="0"/>
    </w:pPr>
    <w:rPr>
      <w:rFonts w:ascii="Times New Roman" w:eastAsia="Yu Mincho" w:hAnsi="Times New Roman"/>
      <w:color w:val="000000" w:themeColor="text1"/>
      <w:sz w:val="26"/>
      <w:szCs w:val="26"/>
      <w:lang w:eastAsia="ja-JP"/>
    </w:rPr>
  </w:style>
  <w:style w:type="character" w:customStyle="1" w:styleId="TextedebullesCar">
    <w:name w:val="Texte de bulles Car"/>
    <w:basedOn w:val="Policepardfaut"/>
    <w:link w:val="Textedebulles"/>
    <w:uiPriority w:val="99"/>
    <w:semiHidden/>
    <w:rsid w:val="00E224F3"/>
    <w:rPr>
      <w:rFonts w:ascii="Times New Roman" w:hAnsi="Times New Roman"/>
      <w:color w:val="000000" w:themeColor="text1"/>
      <w:sz w:val="26"/>
      <w:szCs w:val="26"/>
    </w:rPr>
  </w:style>
  <w:style w:type="paragraph" w:customStyle="1" w:styleId="Encartreco">
    <w:name w:val="Encart reco"/>
    <w:basedOn w:val="Normal"/>
    <w:next w:val="Normal"/>
    <w:qFormat/>
    <w:rsid w:val="000B4BE9"/>
    <w:pPr>
      <w:pBdr>
        <w:top w:val="single" w:sz="4" w:space="10" w:color="E3EBF3"/>
        <w:left w:val="single" w:sz="4" w:space="10" w:color="E3EBF3"/>
        <w:bottom w:val="single" w:sz="4" w:space="10" w:color="E3EBF3"/>
        <w:right w:val="single" w:sz="4" w:space="10" w:color="E3EBF3"/>
      </w:pBdr>
      <w:shd w:val="clear" w:color="auto" w:fill="E3EBF3"/>
      <w:spacing w:before="200"/>
    </w:pPr>
    <w:rPr>
      <w:rFonts w:cstheme="minorBidi"/>
      <w:color w:val="0B1B33"/>
      <w:lang w:eastAsia="en-US"/>
    </w:rPr>
  </w:style>
  <w:style w:type="paragraph" w:customStyle="1" w:styleId="Encartliste">
    <w:name w:val="Encart liste"/>
    <w:basedOn w:val="Encartreco"/>
    <w:next w:val="Normal"/>
    <w:autoRedefine/>
    <w:qFormat/>
    <w:rsid w:val="00C65A44"/>
    <w:pPr>
      <w:numPr>
        <w:numId w:val="16"/>
      </w:numPr>
      <w:ind w:left="284" w:hanging="284"/>
    </w:pPr>
  </w:style>
  <w:style w:type="numbering" w:customStyle="1" w:styleId="Numrotationdestitres">
    <w:name w:val="Numérotation des titres"/>
    <w:uiPriority w:val="99"/>
    <w:rsid w:val="008F6742"/>
    <w:pPr>
      <w:numPr>
        <w:numId w:val="21"/>
      </w:numPr>
    </w:pPr>
  </w:style>
  <w:style w:type="character" w:customStyle="1" w:styleId="EndnoteCharacters">
    <w:name w:val="Endnote Characters"/>
    <w:qFormat/>
    <w:rsid w:val="00B81E84"/>
  </w:style>
  <w:style w:type="paragraph" w:customStyle="1" w:styleId="Remplacement">
    <w:name w:val="Remplacement"/>
    <w:basedOn w:val="Normal"/>
    <w:link w:val="RemplacementCar"/>
    <w:autoRedefine/>
    <w:qFormat/>
    <w:rsid w:val="00B81E84"/>
    <w:pPr>
      <w:shd w:val="clear" w:color="auto" w:fill="FFFF00"/>
      <w:spacing w:after="283"/>
    </w:pPr>
    <w:rPr>
      <w:rFonts w:cstheme="minorBidi"/>
      <w:color w:val="0B1B33"/>
      <w:lang w:eastAsia="en-US"/>
    </w:rPr>
  </w:style>
  <w:style w:type="character" w:customStyle="1" w:styleId="RemplacementCar">
    <w:name w:val="Remplacement Car"/>
    <w:basedOn w:val="Policepardfaut"/>
    <w:link w:val="Remplacement"/>
    <w:rsid w:val="00B81E84"/>
    <w:rPr>
      <w:rFonts w:ascii="Verdana" w:eastAsia="Times New Roman" w:hAnsi="Verdana" w:cstheme="minorBidi"/>
      <w:color w:val="0B1B33"/>
      <w:sz w:val="18"/>
      <w:szCs w:val="24"/>
      <w:shd w:val="clear" w:color="auto" w:fill="FFFF00"/>
      <w:lang w:eastAsia="en-US"/>
    </w:rPr>
  </w:style>
  <w:style w:type="paragraph" w:customStyle="1" w:styleId="paragraph">
    <w:name w:val="paragraph"/>
    <w:basedOn w:val="Normal"/>
    <w:rsid w:val="000E2D12"/>
    <w:pPr>
      <w:spacing w:before="100" w:beforeAutospacing="1" w:after="100" w:afterAutospacing="1"/>
    </w:pPr>
    <w:rPr>
      <w:rFonts w:ascii="Times New Roman" w:hAnsi="Times New Roman"/>
      <w:sz w:val="24"/>
    </w:rPr>
  </w:style>
  <w:style w:type="character" w:customStyle="1" w:styleId="normaltextrun">
    <w:name w:val="normaltextrun"/>
    <w:basedOn w:val="Policepardfaut"/>
    <w:rsid w:val="000E2D12"/>
  </w:style>
  <w:style w:type="character" w:customStyle="1" w:styleId="eop">
    <w:name w:val="eop"/>
    <w:basedOn w:val="Policepardfaut"/>
    <w:rsid w:val="000E2D12"/>
  </w:style>
  <w:style w:type="character" w:styleId="Marquedecommentaire">
    <w:name w:val="annotation reference"/>
    <w:basedOn w:val="Policepardfaut"/>
    <w:uiPriority w:val="99"/>
    <w:semiHidden/>
    <w:unhideWhenUsed/>
    <w:rsid w:val="000E2D12"/>
    <w:rPr>
      <w:sz w:val="16"/>
      <w:szCs w:val="16"/>
    </w:rPr>
  </w:style>
  <w:style w:type="paragraph" w:styleId="Commentaire">
    <w:name w:val="annotation text"/>
    <w:basedOn w:val="Normal"/>
    <w:link w:val="CommentaireCar"/>
    <w:uiPriority w:val="99"/>
    <w:semiHidden/>
    <w:unhideWhenUsed/>
    <w:rsid w:val="000E2D12"/>
    <w:rPr>
      <w:sz w:val="20"/>
      <w:szCs w:val="20"/>
    </w:rPr>
  </w:style>
  <w:style w:type="character" w:customStyle="1" w:styleId="CommentaireCar">
    <w:name w:val="Commentaire Car"/>
    <w:basedOn w:val="Policepardfaut"/>
    <w:link w:val="Commentaire"/>
    <w:uiPriority w:val="99"/>
    <w:semiHidden/>
    <w:rsid w:val="000E2D12"/>
    <w:rPr>
      <w:rFonts w:ascii="Verdana" w:eastAsia="Times New Roman" w:hAnsi="Verdana"/>
      <w:lang w:eastAsia="fr-FR"/>
    </w:rPr>
  </w:style>
  <w:style w:type="paragraph" w:styleId="Objetducommentaire">
    <w:name w:val="annotation subject"/>
    <w:basedOn w:val="Commentaire"/>
    <w:next w:val="Commentaire"/>
    <w:link w:val="ObjetducommentaireCar"/>
    <w:uiPriority w:val="99"/>
    <w:semiHidden/>
    <w:unhideWhenUsed/>
    <w:rsid w:val="000E2D12"/>
    <w:rPr>
      <w:b/>
      <w:bCs/>
    </w:rPr>
  </w:style>
  <w:style w:type="character" w:customStyle="1" w:styleId="ObjetducommentaireCar">
    <w:name w:val="Objet du commentaire Car"/>
    <w:basedOn w:val="CommentaireCar"/>
    <w:link w:val="Objetducommentaire"/>
    <w:uiPriority w:val="99"/>
    <w:semiHidden/>
    <w:rsid w:val="000E2D12"/>
    <w:rPr>
      <w:rFonts w:ascii="Verdana" w:eastAsia="Times New Roman" w:hAnsi="Verdana"/>
      <w:b/>
      <w:bCs/>
      <w:lang w:eastAsia="fr-FR"/>
    </w:rPr>
  </w:style>
  <w:style w:type="paragraph" w:styleId="Tabledesillustrations">
    <w:name w:val="table of figures"/>
    <w:basedOn w:val="Normal"/>
    <w:next w:val="Normal"/>
    <w:uiPriority w:val="99"/>
    <w:unhideWhenUsed/>
    <w:rsid w:val="000E2D12"/>
    <w:pPr>
      <w:spacing w:after="0"/>
    </w:pPr>
  </w:style>
  <w:style w:type="paragraph" w:styleId="Rvision">
    <w:name w:val="Revision"/>
    <w:hidden/>
    <w:uiPriority w:val="99"/>
    <w:semiHidden/>
    <w:rsid w:val="000E2D12"/>
    <w:rPr>
      <w:rFonts w:ascii="Verdana" w:eastAsia="Times New Roman" w:hAnsi="Verdana"/>
      <w:sz w:val="18"/>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10264">
      <w:bodyDiv w:val="1"/>
      <w:marLeft w:val="0"/>
      <w:marRight w:val="0"/>
      <w:marTop w:val="0"/>
      <w:marBottom w:val="0"/>
      <w:divBdr>
        <w:top w:val="none" w:sz="0" w:space="0" w:color="auto"/>
        <w:left w:val="none" w:sz="0" w:space="0" w:color="auto"/>
        <w:bottom w:val="none" w:sz="0" w:space="0" w:color="auto"/>
        <w:right w:val="none" w:sz="0" w:space="0" w:color="auto"/>
      </w:divBdr>
    </w:div>
    <w:div w:id="56050495">
      <w:bodyDiv w:val="1"/>
      <w:marLeft w:val="0"/>
      <w:marRight w:val="0"/>
      <w:marTop w:val="0"/>
      <w:marBottom w:val="0"/>
      <w:divBdr>
        <w:top w:val="none" w:sz="0" w:space="0" w:color="auto"/>
        <w:left w:val="none" w:sz="0" w:space="0" w:color="auto"/>
        <w:bottom w:val="none" w:sz="0" w:space="0" w:color="auto"/>
        <w:right w:val="none" w:sz="0" w:space="0" w:color="auto"/>
      </w:divBdr>
    </w:div>
    <w:div w:id="63189296">
      <w:bodyDiv w:val="1"/>
      <w:marLeft w:val="0"/>
      <w:marRight w:val="0"/>
      <w:marTop w:val="0"/>
      <w:marBottom w:val="0"/>
      <w:divBdr>
        <w:top w:val="none" w:sz="0" w:space="0" w:color="auto"/>
        <w:left w:val="none" w:sz="0" w:space="0" w:color="auto"/>
        <w:bottom w:val="none" w:sz="0" w:space="0" w:color="auto"/>
        <w:right w:val="none" w:sz="0" w:space="0" w:color="auto"/>
      </w:divBdr>
    </w:div>
    <w:div w:id="63454471">
      <w:bodyDiv w:val="1"/>
      <w:marLeft w:val="0"/>
      <w:marRight w:val="0"/>
      <w:marTop w:val="0"/>
      <w:marBottom w:val="0"/>
      <w:divBdr>
        <w:top w:val="none" w:sz="0" w:space="0" w:color="auto"/>
        <w:left w:val="none" w:sz="0" w:space="0" w:color="auto"/>
        <w:bottom w:val="none" w:sz="0" w:space="0" w:color="auto"/>
        <w:right w:val="none" w:sz="0" w:space="0" w:color="auto"/>
      </w:divBdr>
    </w:div>
    <w:div w:id="87387511">
      <w:bodyDiv w:val="1"/>
      <w:marLeft w:val="0"/>
      <w:marRight w:val="0"/>
      <w:marTop w:val="0"/>
      <w:marBottom w:val="0"/>
      <w:divBdr>
        <w:top w:val="none" w:sz="0" w:space="0" w:color="auto"/>
        <w:left w:val="none" w:sz="0" w:space="0" w:color="auto"/>
        <w:bottom w:val="none" w:sz="0" w:space="0" w:color="auto"/>
        <w:right w:val="none" w:sz="0" w:space="0" w:color="auto"/>
      </w:divBdr>
    </w:div>
    <w:div w:id="215556777">
      <w:bodyDiv w:val="1"/>
      <w:marLeft w:val="0"/>
      <w:marRight w:val="0"/>
      <w:marTop w:val="0"/>
      <w:marBottom w:val="0"/>
      <w:divBdr>
        <w:top w:val="none" w:sz="0" w:space="0" w:color="auto"/>
        <w:left w:val="none" w:sz="0" w:space="0" w:color="auto"/>
        <w:bottom w:val="none" w:sz="0" w:space="0" w:color="auto"/>
        <w:right w:val="none" w:sz="0" w:space="0" w:color="auto"/>
      </w:divBdr>
    </w:div>
    <w:div w:id="295065861">
      <w:bodyDiv w:val="1"/>
      <w:marLeft w:val="0"/>
      <w:marRight w:val="0"/>
      <w:marTop w:val="0"/>
      <w:marBottom w:val="0"/>
      <w:divBdr>
        <w:top w:val="none" w:sz="0" w:space="0" w:color="auto"/>
        <w:left w:val="none" w:sz="0" w:space="0" w:color="auto"/>
        <w:bottom w:val="none" w:sz="0" w:space="0" w:color="auto"/>
        <w:right w:val="none" w:sz="0" w:space="0" w:color="auto"/>
      </w:divBdr>
    </w:div>
    <w:div w:id="303435969">
      <w:bodyDiv w:val="1"/>
      <w:marLeft w:val="0"/>
      <w:marRight w:val="0"/>
      <w:marTop w:val="0"/>
      <w:marBottom w:val="0"/>
      <w:divBdr>
        <w:top w:val="none" w:sz="0" w:space="0" w:color="auto"/>
        <w:left w:val="none" w:sz="0" w:space="0" w:color="auto"/>
        <w:bottom w:val="none" w:sz="0" w:space="0" w:color="auto"/>
        <w:right w:val="none" w:sz="0" w:space="0" w:color="auto"/>
      </w:divBdr>
    </w:div>
    <w:div w:id="349570608">
      <w:bodyDiv w:val="1"/>
      <w:marLeft w:val="0"/>
      <w:marRight w:val="0"/>
      <w:marTop w:val="0"/>
      <w:marBottom w:val="0"/>
      <w:divBdr>
        <w:top w:val="none" w:sz="0" w:space="0" w:color="auto"/>
        <w:left w:val="none" w:sz="0" w:space="0" w:color="auto"/>
        <w:bottom w:val="none" w:sz="0" w:space="0" w:color="auto"/>
        <w:right w:val="none" w:sz="0" w:space="0" w:color="auto"/>
      </w:divBdr>
    </w:div>
    <w:div w:id="618072540">
      <w:bodyDiv w:val="1"/>
      <w:marLeft w:val="0"/>
      <w:marRight w:val="0"/>
      <w:marTop w:val="0"/>
      <w:marBottom w:val="0"/>
      <w:divBdr>
        <w:top w:val="none" w:sz="0" w:space="0" w:color="auto"/>
        <w:left w:val="none" w:sz="0" w:space="0" w:color="auto"/>
        <w:bottom w:val="none" w:sz="0" w:space="0" w:color="auto"/>
        <w:right w:val="none" w:sz="0" w:space="0" w:color="auto"/>
      </w:divBdr>
    </w:div>
    <w:div w:id="683166976">
      <w:bodyDiv w:val="1"/>
      <w:marLeft w:val="0"/>
      <w:marRight w:val="0"/>
      <w:marTop w:val="0"/>
      <w:marBottom w:val="0"/>
      <w:divBdr>
        <w:top w:val="none" w:sz="0" w:space="0" w:color="auto"/>
        <w:left w:val="none" w:sz="0" w:space="0" w:color="auto"/>
        <w:bottom w:val="none" w:sz="0" w:space="0" w:color="auto"/>
        <w:right w:val="none" w:sz="0" w:space="0" w:color="auto"/>
      </w:divBdr>
    </w:div>
    <w:div w:id="709955881">
      <w:bodyDiv w:val="1"/>
      <w:marLeft w:val="0"/>
      <w:marRight w:val="0"/>
      <w:marTop w:val="0"/>
      <w:marBottom w:val="0"/>
      <w:divBdr>
        <w:top w:val="none" w:sz="0" w:space="0" w:color="auto"/>
        <w:left w:val="none" w:sz="0" w:space="0" w:color="auto"/>
        <w:bottom w:val="none" w:sz="0" w:space="0" w:color="auto"/>
        <w:right w:val="none" w:sz="0" w:space="0" w:color="auto"/>
      </w:divBdr>
    </w:div>
    <w:div w:id="826096666">
      <w:bodyDiv w:val="1"/>
      <w:marLeft w:val="0"/>
      <w:marRight w:val="0"/>
      <w:marTop w:val="0"/>
      <w:marBottom w:val="0"/>
      <w:divBdr>
        <w:top w:val="none" w:sz="0" w:space="0" w:color="auto"/>
        <w:left w:val="none" w:sz="0" w:space="0" w:color="auto"/>
        <w:bottom w:val="none" w:sz="0" w:space="0" w:color="auto"/>
        <w:right w:val="none" w:sz="0" w:space="0" w:color="auto"/>
      </w:divBdr>
    </w:div>
    <w:div w:id="1066880530">
      <w:bodyDiv w:val="1"/>
      <w:marLeft w:val="0"/>
      <w:marRight w:val="0"/>
      <w:marTop w:val="0"/>
      <w:marBottom w:val="0"/>
      <w:divBdr>
        <w:top w:val="none" w:sz="0" w:space="0" w:color="auto"/>
        <w:left w:val="none" w:sz="0" w:space="0" w:color="auto"/>
        <w:bottom w:val="none" w:sz="0" w:space="0" w:color="auto"/>
        <w:right w:val="none" w:sz="0" w:space="0" w:color="auto"/>
      </w:divBdr>
    </w:div>
    <w:div w:id="1079670244">
      <w:bodyDiv w:val="1"/>
      <w:marLeft w:val="0"/>
      <w:marRight w:val="0"/>
      <w:marTop w:val="0"/>
      <w:marBottom w:val="0"/>
      <w:divBdr>
        <w:top w:val="none" w:sz="0" w:space="0" w:color="auto"/>
        <w:left w:val="none" w:sz="0" w:space="0" w:color="auto"/>
        <w:bottom w:val="none" w:sz="0" w:space="0" w:color="auto"/>
        <w:right w:val="none" w:sz="0" w:space="0" w:color="auto"/>
      </w:divBdr>
    </w:div>
    <w:div w:id="1090934573">
      <w:bodyDiv w:val="1"/>
      <w:marLeft w:val="0"/>
      <w:marRight w:val="0"/>
      <w:marTop w:val="0"/>
      <w:marBottom w:val="0"/>
      <w:divBdr>
        <w:top w:val="none" w:sz="0" w:space="0" w:color="auto"/>
        <w:left w:val="none" w:sz="0" w:space="0" w:color="auto"/>
        <w:bottom w:val="none" w:sz="0" w:space="0" w:color="auto"/>
        <w:right w:val="none" w:sz="0" w:space="0" w:color="auto"/>
      </w:divBdr>
    </w:div>
    <w:div w:id="1094472748">
      <w:bodyDiv w:val="1"/>
      <w:marLeft w:val="0"/>
      <w:marRight w:val="0"/>
      <w:marTop w:val="0"/>
      <w:marBottom w:val="0"/>
      <w:divBdr>
        <w:top w:val="none" w:sz="0" w:space="0" w:color="auto"/>
        <w:left w:val="none" w:sz="0" w:space="0" w:color="auto"/>
        <w:bottom w:val="none" w:sz="0" w:space="0" w:color="auto"/>
        <w:right w:val="none" w:sz="0" w:space="0" w:color="auto"/>
      </w:divBdr>
    </w:div>
    <w:div w:id="1116799861">
      <w:bodyDiv w:val="1"/>
      <w:marLeft w:val="0"/>
      <w:marRight w:val="0"/>
      <w:marTop w:val="0"/>
      <w:marBottom w:val="0"/>
      <w:divBdr>
        <w:top w:val="none" w:sz="0" w:space="0" w:color="auto"/>
        <w:left w:val="none" w:sz="0" w:space="0" w:color="auto"/>
        <w:bottom w:val="none" w:sz="0" w:space="0" w:color="auto"/>
        <w:right w:val="none" w:sz="0" w:space="0" w:color="auto"/>
      </w:divBdr>
    </w:div>
    <w:div w:id="1133401707">
      <w:bodyDiv w:val="1"/>
      <w:marLeft w:val="0"/>
      <w:marRight w:val="0"/>
      <w:marTop w:val="0"/>
      <w:marBottom w:val="0"/>
      <w:divBdr>
        <w:top w:val="none" w:sz="0" w:space="0" w:color="auto"/>
        <w:left w:val="none" w:sz="0" w:space="0" w:color="auto"/>
        <w:bottom w:val="none" w:sz="0" w:space="0" w:color="auto"/>
        <w:right w:val="none" w:sz="0" w:space="0" w:color="auto"/>
      </w:divBdr>
    </w:div>
    <w:div w:id="1176993690">
      <w:bodyDiv w:val="1"/>
      <w:marLeft w:val="0"/>
      <w:marRight w:val="0"/>
      <w:marTop w:val="0"/>
      <w:marBottom w:val="0"/>
      <w:divBdr>
        <w:top w:val="none" w:sz="0" w:space="0" w:color="auto"/>
        <w:left w:val="none" w:sz="0" w:space="0" w:color="auto"/>
        <w:bottom w:val="none" w:sz="0" w:space="0" w:color="auto"/>
        <w:right w:val="none" w:sz="0" w:space="0" w:color="auto"/>
      </w:divBdr>
    </w:div>
    <w:div w:id="1177384341">
      <w:bodyDiv w:val="1"/>
      <w:marLeft w:val="0"/>
      <w:marRight w:val="0"/>
      <w:marTop w:val="0"/>
      <w:marBottom w:val="0"/>
      <w:divBdr>
        <w:top w:val="none" w:sz="0" w:space="0" w:color="auto"/>
        <w:left w:val="none" w:sz="0" w:space="0" w:color="auto"/>
        <w:bottom w:val="none" w:sz="0" w:space="0" w:color="auto"/>
        <w:right w:val="none" w:sz="0" w:space="0" w:color="auto"/>
      </w:divBdr>
    </w:div>
    <w:div w:id="1363556924">
      <w:bodyDiv w:val="1"/>
      <w:marLeft w:val="0"/>
      <w:marRight w:val="0"/>
      <w:marTop w:val="0"/>
      <w:marBottom w:val="0"/>
      <w:divBdr>
        <w:top w:val="none" w:sz="0" w:space="0" w:color="auto"/>
        <w:left w:val="none" w:sz="0" w:space="0" w:color="auto"/>
        <w:bottom w:val="none" w:sz="0" w:space="0" w:color="auto"/>
        <w:right w:val="none" w:sz="0" w:space="0" w:color="auto"/>
      </w:divBdr>
    </w:div>
    <w:div w:id="1468545371">
      <w:bodyDiv w:val="1"/>
      <w:marLeft w:val="0"/>
      <w:marRight w:val="0"/>
      <w:marTop w:val="0"/>
      <w:marBottom w:val="0"/>
      <w:divBdr>
        <w:top w:val="none" w:sz="0" w:space="0" w:color="auto"/>
        <w:left w:val="none" w:sz="0" w:space="0" w:color="auto"/>
        <w:bottom w:val="none" w:sz="0" w:space="0" w:color="auto"/>
        <w:right w:val="none" w:sz="0" w:space="0" w:color="auto"/>
      </w:divBdr>
    </w:div>
    <w:div w:id="1484420886">
      <w:bodyDiv w:val="1"/>
      <w:marLeft w:val="0"/>
      <w:marRight w:val="0"/>
      <w:marTop w:val="0"/>
      <w:marBottom w:val="0"/>
      <w:divBdr>
        <w:top w:val="none" w:sz="0" w:space="0" w:color="auto"/>
        <w:left w:val="none" w:sz="0" w:space="0" w:color="auto"/>
        <w:bottom w:val="none" w:sz="0" w:space="0" w:color="auto"/>
        <w:right w:val="none" w:sz="0" w:space="0" w:color="auto"/>
      </w:divBdr>
    </w:div>
    <w:div w:id="1496844657">
      <w:bodyDiv w:val="1"/>
      <w:marLeft w:val="0"/>
      <w:marRight w:val="0"/>
      <w:marTop w:val="0"/>
      <w:marBottom w:val="0"/>
      <w:divBdr>
        <w:top w:val="none" w:sz="0" w:space="0" w:color="auto"/>
        <w:left w:val="none" w:sz="0" w:space="0" w:color="auto"/>
        <w:bottom w:val="none" w:sz="0" w:space="0" w:color="auto"/>
        <w:right w:val="none" w:sz="0" w:space="0" w:color="auto"/>
      </w:divBdr>
    </w:div>
    <w:div w:id="1745182001">
      <w:bodyDiv w:val="1"/>
      <w:marLeft w:val="0"/>
      <w:marRight w:val="0"/>
      <w:marTop w:val="0"/>
      <w:marBottom w:val="0"/>
      <w:divBdr>
        <w:top w:val="none" w:sz="0" w:space="0" w:color="auto"/>
        <w:left w:val="none" w:sz="0" w:space="0" w:color="auto"/>
        <w:bottom w:val="none" w:sz="0" w:space="0" w:color="auto"/>
        <w:right w:val="none" w:sz="0" w:space="0" w:color="auto"/>
      </w:divBdr>
    </w:div>
    <w:div w:id="1766726402">
      <w:bodyDiv w:val="1"/>
      <w:marLeft w:val="0"/>
      <w:marRight w:val="0"/>
      <w:marTop w:val="0"/>
      <w:marBottom w:val="0"/>
      <w:divBdr>
        <w:top w:val="none" w:sz="0" w:space="0" w:color="auto"/>
        <w:left w:val="none" w:sz="0" w:space="0" w:color="auto"/>
        <w:bottom w:val="none" w:sz="0" w:space="0" w:color="auto"/>
        <w:right w:val="none" w:sz="0" w:space="0" w:color="auto"/>
      </w:divBdr>
    </w:div>
    <w:div w:id="1768042145">
      <w:bodyDiv w:val="1"/>
      <w:marLeft w:val="0"/>
      <w:marRight w:val="0"/>
      <w:marTop w:val="0"/>
      <w:marBottom w:val="0"/>
      <w:divBdr>
        <w:top w:val="none" w:sz="0" w:space="0" w:color="auto"/>
        <w:left w:val="none" w:sz="0" w:space="0" w:color="auto"/>
        <w:bottom w:val="none" w:sz="0" w:space="0" w:color="auto"/>
        <w:right w:val="none" w:sz="0" w:space="0" w:color="auto"/>
      </w:divBdr>
    </w:div>
    <w:div w:id="1819764271">
      <w:bodyDiv w:val="1"/>
      <w:marLeft w:val="0"/>
      <w:marRight w:val="0"/>
      <w:marTop w:val="0"/>
      <w:marBottom w:val="0"/>
      <w:divBdr>
        <w:top w:val="none" w:sz="0" w:space="0" w:color="auto"/>
        <w:left w:val="none" w:sz="0" w:space="0" w:color="auto"/>
        <w:bottom w:val="none" w:sz="0" w:space="0" w:color="auto"/>
        <w:right w:val="none" w:sz="0" w:space="0" w:color="auto"/>
      </w:divBdr>
    </w:div>
    <w:div w:id="1837569583">
      <w:bodyDiv w:val="1"/>
      <w:marLeft w:val="0"/>
      <w:marRight w:val="0"/>
      <w:marTop w:val="0"/>
      <w:marBottom w:val="0"/>
      <w:divBdr>
        <w:top w:val="none" w:sz="0" w:space="0" w:color="auto"/>
        <w:left w:val="none" w:sz="0" w:space="0" w:color="auto"/>
        <w:bottom w:val="none" w:sz="0" w:space="0" w:color="auto"/>
        <w:right w:val="none" w:sz="0" w:space="0" w:color="auto"/>
      </w:divBdr>
    </w:div>
    <w:div w:id="1993022795">
      <w:bodyDiv w:val="1"/>
      <w:marLeft w:val="0"/>
      <w:marRight w:val="0"/>
      <w:marTop w:val="0"/>
      <w:marBottom w:val="0"/>
      <w:divBdr>
        <w:top w:val="none" w:sz="0" w:space="0" w:color="auto"/>
        <w:left w:val="none" w:sz="0" w:space="0" w:color="auto"/>
        <w:bottom w:val="none" w:sz="0" w:space="0" w:color="auto"/>
        <w:right w:val="none" w:sz="0" w:space="0" w:color="auto"/>
      </w:divBdr>
    </w:div>
    <w:div w:id="2059356155">
      <w:bodyDiv w:val="1"/>
      <w:marLeft w:val="0"/>
      <w:marRight w:val="0"/>
      <w:marTop w:val="0"/>
      <w:marBottom w:val="0"/>
      <w:divBdr>
        <w:top w:val="none" w:sz="0" w:space="0" w:color="auto"/>
        <w:left w:val="none" w:sz="0" w:space="0" w:color="auto"/>
        <w:bottom w:val="none" w:sz="0" w:space="0" w:color="auto"/>
        <w:right w:val="none" w:sz="0" w:space="0" w:color="auto"/>
      </w:divBdr>
    </w:div>
    <w:div w:id="2064481064">
      <w:bodyDiv w:val="1"/>
      <w:marLeft w:val="0"/>
      <w:marRight w:val="0"/>
      <w:marTop w:val="0"/>
      <w:marBottom w:val="0"/>
      <w:divBdr>
        <w:top w:val="none" w:sz="0" w:space="0" w:color="auto"/>
        <w:left w:val="none" w:sz="0" w:space="0" w:color="auto"/>
        <w:bottom w:val="none" w:sz="0" w:space="0" w:color="auto"/>
        <w:right w:val="none" w:sz="0" w:space="0" w:color="auto"/>
      </w:divBdr>
    </w:div>
    <w:div w:id="2126150650">
      <w:bodyDiv w:val="1"/>
      <w:marLeft w:val="0"/>
      <w:marRight w:val="0"/>
      <w:marTop w:val="0"/>
      <w:marBottom w:val="0"/>
      <w:divBdr>
        <w:top w:val="none" w:sz="0" w:space="0" w:color="auto"/>
        <w:left w:val="none" w:sz="0" w:space="0" w:color="auto"/>
        <w:bottom w:val="none" w:sz="0" w:space="0" w:color="auto"/>
        <w:right w:val="none" w:sz="0" w:space="0" w:color="auto"/>
      </w:divBdr>
    </w:div>
    <w:div w:id="213578252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ccess42.net/"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handicap.gouv.fr/installation-du-conseil-pour-les-questions-semantiques-sociologiques-et-ethiques-du-cncph" TargetMode="External"/><Relationship Id="rId13" Type="http://schemas.openxmlformats.org/officeDocument/2006/relationships/hyperlink" Target="https://www.justdifferent.eu/handicap/et-pourtant-je-suis-vivant-ou-pourquoi-bannir-le-mot-valide" TargetMode="External"/><Relationship Id="rId3" Type="http://schemas.openxmlformats.org/officeDocument/2006/relationships/hyperlink" Target="https://shs.cairn.info/revue-vie-sociale-et-traitements-2006-4-page-71?lang=fr" TargetMode="External"/><Relationship Id="rId7" Type="http://schemas.openxmlformats.org/officeDocument/2006/relationships/hyperlink" Target="https://www.radiofrance.fr/franceculture/de-l-infirmite-a-l-egalite-des-chances-la-fabrique-du-mot-handicape-8130074" TargetMode="External"/><Relationship Id="rId12" Type="http://schemas.openxmlformats.org/officeDocument/2006/relationships/hyperlink" Target="https://x.com/cyberbaloo_/status/1531937873368338436?s=20&amp;t=bryI7RMbzJ-SO2xQ3xJEDw" TargetMode="External"/><Relationship Id="rId2" Type="http://schemas.openxmlformats.org/officeDocument/2006/relationships/hyperlink" Target="https://hal.science/hal-03636439/document" TargetMode="External"/><Relationship Id="rId1" Type="http://schemas.openxmlformats.org/officeDocument/2006/relationships/hyperlink" Target="https://www.persee.fr/doc/rfp_0556-7807_1987_num_79_1_2421_t1_0098_0000_2" TargetMode="External"/><Relationship Id="rId6" Type="http://schemas.openxmlformats.org/officeDocument/2006/relationships/hyperlink" Target="https://u.ae/en/information-and-services/social-affairs/people-of-determination" TargetMode="External"/><Relationship Id="rId11" Type="http://schemas.openxmlformats.org/officeDocument/2006/relationships/hyperlink" Target="https://sheribyrnehaber.com/is-an-identity-model-replacing-the-charitable-medical-and-social-models-of-disability/" TargetMode="External"/><Relationship Id="rId5" Type="http://schemas.openxmlformats.org/officeDocument/2006/relationships/hyperlink" Target="https://www.ophq.gouv.qc.ca/fileadmin/centre_documentaire/Guides/trousse_Vfinal.pdf" TargetMode="External"/><Relationship Id="rId10" Type="http://schemas.openxmlformats.org/officeDocument/2006/relationships/hyperlink" Target="https://lesdevalideuses.org/ressources-2/accessibiliser-un-evenement-le-guide/" TargetMode="External"/><Relationship Id="rId4" Type="http://schemas.openxmlformats.org/officeDocument/2006/relationships/hyperlink" Target="https://www.ohchr.org/fr/instruments-mechanisms/instruments/convention-rights-persons-disabilities" TargetMode="External"/><Relationship Id="rId9" Type="http://schemas.openxmlformats.org/officeDocument/2006/relationships/hyperlink" Target="https://access42.net/simulation-handicap-avis-personnes-handicapees/" TargetMode="External"/><Relationship Id="rId14" Type="http://schemas.openxmlformats.org/officeDocument/2006/relationships/hyperlink" Target="https://access42.net/gaad-2020-accessibilite-numerique-ameliorons-nos-arguments/"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bonjour@access42.net" TargetMode="External"/><Relationship Id="rId2" Type="http://schemas.openxmlformats.org/officeDocument/2006/relationships/hyperlink" Target="https://access42.net/" TargetMode="External"/><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hyperlink" Target="mailto:bonjour@access42.net" TargetMode="External"/><Relationship Id="rId2" Type="http://schemas.openxmlformats.org/officeDocument/2006/relationships/hyperlink" Target="https://access42.net/" TargetMode="External"/><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rieguillaumet/Library/CloudStorage/OneDrive-Bibliothe&#768;quespartage&#769;es-Access42/Communication%20-%20Documents/Modeles%20Communication/Papier-Entete-Simplon.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3c530dbc-99ff-4755-a939-b4e007a462a2" xsi:nil="true"/>
    <lcf76f155ced4ddcb4097134ff3c332f xmlns="3c530dbc-99ff-4755-a939-b4e007a462a2">
      <Terms xmlns="http://schemas.microsoft.com/office/infopath/2007/PartnerControls"/>
    </lcf76f155ced4ddcb4097134ff3c332f>
    <TaxCatchAll xmlns="41d5903d-e8c5-4c52-90c7-8900a17b841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0D74C303420574EB4271F1D9BF8C701" ma:contentTypeVersion="19" ma:contentTypeDescription="Crée un document." ma:contentTypeScope="" ma:versionID="f8582e507276771a211bf4888dfbbd9e">
  <xsd:schema xmlns:xsd="http://www.w3.org/2001/XMLSchema" xmlns:xs="http://www.w3.org/2001/XMLSchema" xmlns:p="http://schemas.microsoft.com/office/2006/metadata/properties" xmlns:ns2="41d5903d-e8c5-4c52-90c7-8900a17b8418" xmlns:ns3="3c530dbc-99ff-4755-a939-b4e007a462a2" targetNamespace="http://schemas.microsoft.com/office/2006/metadata/properties" ma:root="true" ma:fieldsID="425d88c5b605b2daca786c282914b091" ns2:_="" ns3:_="">
    <xsd:import namespace="41d5903d-e8c5-4c52-90c7-8900a17b8418"/>
    <xsd:import namespace="3c530dbc-99ff-4755-a939-b4e007a462a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element ref="ns3:_Flow_SignoffStatu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5903d-e8c5-4c52-90c7-8900a17b8418"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TaxCatchAll" ma:index="22" nillable="true" ma:displayName="Taxonomy Catch All Column" ma:hidden="true" ma:list="{742998a3-68f2-4bcb-9f15-3820287aa10a}" ma:internalName="TaxCatchAll" ma:showField="CatchAllData" ma:web="41d5903d-e8c5-4c52-90c7-8900a17b841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c530dbc-99ff-4755-a939-b4e007a462a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Flow_SignoffStatus" ma:index="19" nillable="true" ma:displayName="État de validation" ma:internalName="_x00c9_tat_x0020_de_x0020_validation">
      <xsd:simpleType>
        <xsd:restriction base="dms:Text"/>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b1c88eab-435a-4e4b-831c-3804b19b42d7"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916E7B8-81E6-4FF9-93AF-9573C2BED546}">
  <ds:schemaRefs>
    <ds:schemaRef ds:uri="http://schemas.microsoft.com/sharepoint/v3/contenttype/forms"/>
  </ds:schemaRefs>
</ds:datastoreItem>
</file>

<file path=customXml/itemProps2.xml><?xml version="1.0" encoding="utf-8"?>
<ds:datastoreItem xmlns:ds="http://schemas.openxmlformats.org/officeDocument/2006/customXml" ds:itemID="{4E664B2E-98F6-47D8-B6D8-B6E0DB64CCC5}">
  <ds:schemaRefs>
    <ds:schemaRef ds:uri="http://schemas.microsoft.com/office/2006/metadata/properties"/>
    <ds:schemaRef ds:uri="http://schemas.microsoft.com/office/infopath/2007/PartnerControls"/>
    <ds:schemaRef ds:uri="3c530dbc-99ff-4755-a939-b4e007a462a2"/>
    <ds:schemaRef ds:uri="41d5903d-e8c5-4c52-90c7-8900a17b8418"/>
  </ds:schemaRefs>
</ds:datastoreItem>
</file>

<file path=customXml/itemProps3.xml><?xml version="1.0" encoding="utf-8"?>
<ds:datastoreItem xmlns:ds="http://schemas.openxmlformats.org/officeDocument/2006/customXml" ds:itemID="{F142E765-E241-465F-97FE-A05E504E3E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5903d-e8c5-4c52-90c7-8900a17b8418"/>
    <ds:schemaRef ds:uri="3c530dbc-99ff-4755-a939-b4e007a462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0E5108-7827-7441-BCEE-4C71DBE06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Papier-Entete-Simplon.dotx</Template>
  <TotalTime>0</TotalTime>
  <Pages>22</Pages>
  <Words>6425</Words>
  <Characters>35342</Characters>
  <Application>Microsoft Office Word</Application>
  <DocSecurity>0</DocSecurity>
  <Lines>294</Lines>
  <Paragraphs>83</Paragraphs>
  <ScaleCrop>false</ScaleCrop>
  <HeadingPairs>
    <vt:vector size="2" baseType="variant">
      <vt:variant>
        <vt:lpstr>Titre</vt:lpstr>
      </vt:variant>
      <vt:variant>
        <vt:i4>1</vt:i4>
      </vt:variant>
    </vt:vector>
  </HeadingPairs>
  <TitlesOfParts>
    <vt:vector size="1" baseType="lpstr">
      <vt:lpstr>Rapport détaillé de l’étude « Nomenclature de la sémantique sur le handicap » menée par Access42 en 202</vt:lpstr>
    </vt:vector>
  </TitlesOfParts>
  <Manager/>
  <Company/>
  <LinksUpToDate>false</LinksUpToDate>
  <CharactersWithSpaces>41684</CharactersWithSpaces>
  <SharedDoc>false</SharedDoc>
  <HyperlinkBase/>
  <HLinks>
    <vt:vector size="240" baseType="variant">
      <vt:variant>
        <vt:i4>1441848</vt:i4>
      </vt:variant>
      <vt:variant>
        <vt:i4>127</vt:i4>
      </vt:variant>
      <vt:variant>
        <vt:i4>0</vt:i4>
      </vt:variant>
      <vt:variant>
        <vt:i4>5</vt:i4>
      </vt:variant>
      <vt:variant>
        <vt:lpwstr/>
      </vt:variant>
      <vt:variant>
        <vt:lpwstr>_Toc184898496</vt:lpwstr>
      </vt:variant>
      <vt:variant>
        <vt:i4>1441848</vt:i4>
      </vt:variant>
      <vt:variant>
        <vt:i4>121</vt:i4>
      </vt:variant>
      <vt:variant>
        <vt:i4>0</vt:i4>
      </vt:variant>
      <vt:variant>
        <vt:i4>5</vt:i4>
      </vt:variant>
      <vt:variant>
        <vt:lpwstr/>
      </vt:variant>
      <vt:variant>
        <vt:lpwstr>_Toc184898495</vt:lpwstr>
      </vt:variant>
      <vt:variant>
        <vt:i4>1441848</vt:i4>
      </vt:variant>
      <vt:variant>
        <vt:i4>115</vt:i4>
      </vt:variant>
      <vt:variant>
        <vt:i4>0</vt:i4>
      </vt:variant>
      <vt:variant>
        <vt:i4>5</vt:i4>
      </vt:variant>
      <vt:variant>
        <vt:lpwstr/>
      </vt:variant>
      <vt:variant>
        <vt:lpwstr>_Toc184898494</vt:lpwstr>
      </vt:variant>
      <vt:variant>
        <vt:i4>1441848</vt:i4>
      </vt:variant>
      <vt:variant>
        <vt:i4>109</vt:i4>
      </vt:variant>
      <vt:variant>
        <vt:i4>0</vt:i4>
      </vt:variant>
      <vt:variant>
        <vt:i4>5</vt:i4>
      </vt:variant>
      <vt:variant>
        <vt:lpwstr/>
      </vt:variant>
      <vt:variant>
        <vt:lpwstr>_Toc184898493</vt:lpwstr>
      </vt:variant>
      <vt:variant>
        <vt:i4>1441848</vt:i4>
      </vt:variant>
      <vt:variant>
        <vt:i4>103</vt:i4>
      </vt:variant>
      <vt:variant>
        <vt:i4>0</vt:i4>
      </vt:variant>
      <vt:variant>
        <vt:i4>5</vt:i4>
      </vt:variant>
      <vt:variant>
        <vt:lpwstr/>
      </vt:variant>
      <vt:variant>
        <vt:lpwstr>_Toc184898492</vt:lpwstr>
      </vt:variant>
      <vt:variant>
        <vt:i4>1441848</vt:i4>
      </vt:variant>
      <vt:variant>
        <vt:i4>97</vt:i4>
      </vt:variant>
      <vt:variant>
        <vt:i4>0</vt:i4>
      </vt:variant>
      <vt:variant>
        <vt:i4>5</vt:i4>
      </vt:variant>
      <vt:variant>
        <vt:lpwstr/>
      </vt:variant>
      <vt:variant>
        <vt:lpwstr>_Toc184898491</vt:lpwstr>
      </vt:variant>
      <vt:variant>
        <vt:i4>1441848</vt:i4>
      </vt:variant>
      <vt:variant>
        <vt:i4>91</vt:i4>
      </vt:variant>
      <vt:variant>
        <vt:i4>0</vt:i4>
      </vt:variant>
      <vt:variant>
        <vt:i4>5</vt:i4>
      </vt:variant>
      <vt:variant>
        <vt:lpwstr/>
      </vt:variant>
      <vt:variant>
        <vt:lpwstr>_Toc184898490</vt:lpwstr>
      </vt:variant>
      <vt:variant>
        <vt:i4>1507384</vt:i4>
      </vt:variant>
      <vt:variant>
        <vt:i4>85</vt:i4>
      </vt:variant>
      <vt:variant>
        <vt:i4>0</vt:i4>
      </vt:variant>
      <vt:variant>
        <vt:i4>5</vt:i4>
      </vt:variant>
      <vt:variant>
        <vt:lpwstr/>
      </vt:variant>
      <vt:variant>
        <vt:lpwstr>_Toc184898489</vt:lpwstr>
      </vt:variant>
      <vt:variant>
        <vt:i4>1507384</vt:i4>
      </vt:variant>
      <vt:variant>
        <vt:i4>79</vt:i4>
      </vt:variant>
      <vt:variant>
        <vt:i4>0</vt:i4>
      </vt:variant>
      <vt:variant>
        <vt:i4>5</vt:i4>
      </vt:variant>
      <vt:variant>
        <vt:lpwstr/>
      </vt:variant>
      <vt:variant>
        <vt:lpwstr>_Toc184898488</vt:lpwstr>
      </vt:variant>
      <vt:variant>
        <vt:i4>1507384</vt:i4>
      </vt:variant>
      <vt:variant>
        <vt:i4>73</vt:i4>
      </vt:variant>
      <vt:variant>
        <vt:i4>0</vt:i4>
      </vt:variant>
      <vt:variant>
        <vt:i4>5</vt:i4>
      </vt:variant>
      <vt:variant>
        <vt:lpwstr/>
      </vt:variant>
      <vt:variant>
        <vt:lpwstr>_Toc184898487</vt:lpwstr>
      </vt:variant>
      <vt:variant>
        <vt:i4>1507384</vt:i4>
      </vt:variant>
      <vt:variant>
        <vt:i4>67</vt:i4>
      </vt:variant>
      <vt:variant>
        <vt:i4>0</vt:i4>
      </vt:variant>
      <vt:variant>
        <vt:i4>5</vt:i4>
      </vt:variant>
      <vt:variant>
        <vt:lpwstr/>
      </vt:variant>
      <vt:variant>
        <vt:lpwstr>_Toc184898486</vt:lpwstr>
      </vt:variant>
      <vt:variant>
        <vt:i4>1507384</vt:i4>
      </vt:variant>
      <vt:variant>
        <vt:i4>61</vt:i4>
      </vt:variant>
      <vt:variant>
        <vt:i4>0</vt:i4>
      </vt:variant>
      <vt:variant>
        <vt:i4>5</vt:i4>
      </vt:variant>
      <vt:variant>
        <vt:lpwstr/>
      </vt:variant>
      <vt:variant>
        <vt:lpwstr>_Toc184898485</vt:lpwstr>
      </vt:variant>
      <vt:variant>
        <vt:i4>1507384</vt:i4>
      </vt:variant>
      <vt:variant>
        <vt:i4>55</vt:i4>
      </vt:variant>
      <vt:variant>
        <vt:i4>0</vt:i4>
      </vt:variant>
      <vt:variant>
        <vt:i4>5</vt:i4>
      </vt:variant>
      <vt:variant>
        <vt:lpwstr/>
      </vt:variant>
      <vt:variant>
        <vt:lpwstr>_Toc184898484</vt:lpwstr>
      </vt:variant>
      <vt:variant>
        <vt:i4>1507384</vt:i4>
      </vt:variant>
      <vt:variant>
        <vt:i4>49</vt:i4>
      </vt:variant>
      <vt:variant>
        <vt:i4>0</vt:i4>
      </vt:variant>
      <vt:variant>
        <vt:i4>5</vt:i4>
      </vt:variant>
      <vt:variant>
        <vt:lpwstr/>
      </vt:variant>
      <vt:variant>
        <vt:lpwstr>_Toc184898483</vt:lpwstr>
      </vt:variant>
      <vt:variant>
        <vt:i4>1507384</vt:i4>
      </vt:variant>
      <vt:variant>
        <vt:i4>43</vt:i4>
      </vt:variant>
      <vt:variant>
        <vt:i4>0</vt:i4>
      </vt:variant>
      <vt:variant>
        <vt:i4>5</vt:i4>
      </vt:variant>
      <vt:variant>
        <vt:lpwstr/>
      </vt:variant>
      <vt:variant>
        <vt:lpwstr>_Toc184898482</vt:lpwstr>
      </vt:variant>
      <vt:variant>
        <vt:i4>1507384</vt:i4>
      </vt:variant>
      <vt:variant>
        <vt:i4>37</vt:i4>
      </vt:variant>
      <vt:variant>
        <vt:i4>0</vt:i4>
      </vt:variant>
      <vt:variant>
        <vt:i4>5</vt:i4>
      </vt:variant>
      <vt:variant>
        <vt:lpwstr/>
      </vt:variant>
      <vt:variant>
        <vt:lpwstr>_Toc184898481</vt:lpwstr>
      </vt:variant>
      <vt:variant>
        <vt:i4>1507384</vt:i4>
      </vt:variant>
      <vt:variant>
        <vt:i4>31</vt:i4>
      </vt:variant>
      <vt:variant>
        <vt:i4>0</vt:i4>
      </vt:variant>
      <vt:variant>
        <vt:i4>5</vt:i4>
      </vt:variant>
      <vt:variant>
        <vt:lpwstr/>
      </vt:variant>
      <vt:variant>
        <vt:lpwstr>_Toc184898480</vt:lpwstr>
      </vt:variant>
      <vt:variant>
        <vt:i4>1572920</vt:i4>
      </vt:variant>
      <vt:variant>
        <vt:i4>25</vt:i4>
      </vt:variant>
      <vt:variant>
        <vt:i4>0</vt:i4>
      </vt:variant>
      <vt:variant>
        <vt:i4>5</vt:i4>
      </vt:variant>
      <vt:variant>
        <vt:lpwstr/>
      </vt:variant>
      <vt:variant>
        <vt:lpwstr>_Toc184898479</vt:lpwstr>
      </vt:variant>
      <vt:variant>
        <vt:i4>1572920</vt:i4>
      </vt:variant>
      <vt:variant>
        <vt:i4>19</vt:i4>
      </vt:variant>
      <vt:variant>
        <vt:i4>0</vt:i4>
      </vt:variant>
      <vt:variant>
        <vt:i4>5</vt:i4>
      </vt:variant>
      <vt:variant>
        <vt:lpwstr/>
      </vt:variant>
      <vt:variant>
        <vt:lpwstr>_Toc184898478</vt:lpwstr>
      </vt:variant>
      <vt:variant>
        <vt:i4>1572920</vt:i4>
      </vt:variant>
      <vt:variant>
        <vt:i4>13</vt:i4>
      </vt:variant>
      <vt:variant>
        <vt:i4>0</vt:i4>
      </vt:variant>
      <vt:variant>
        <vt:i4>5</vt:i4>
      </vt:variant>
      <vt:variant>
        <vt:lpwstr/>
      </vt:variant>
      <vt:variant>
        <vt:lpwstr>_Toc184898477</vt:lpwstr>
      </vt:variant>
      <vt:variant>
        <vt:i4>1572920</vt:i4>
      </vt:variant>
      <vt:variant>
        <vt:i4>7</vt:i4>
      </vt:variant>
      <vt:variant>
        <vt:i4>0</vt:i4>
      </vt:variant>
      <vt:variant>
        <vt:i4>5</vt:i4>
      </vt:variant>
      <vt:variant>
        <vt:lpwstr/>
      </vt:variant>
      <vt:variant>
        <vt:lpwstr>_Toc184898476</vt:lpwstr>
      </vt:variant>
      <vt:variant>
        <vt:i4>4980814</vt:i4>
      </vt:variant>
      <vt:variant>
        <vt:i4>2</vt:i4>
      </vt:variant>
      <vt:variant>
        <vt:i4>0</vt:i4>
      </vt:variant>
      <vt:variant>
        <vt:i4>5</vt:i4>
      </vt:variant>
      <vt:variant>
        <vt:lpwstr>https://access42.net/</vt:lpwstr>
      </vt:variant>
      <vt:variant>
        <vt:lpwstr/>
      </vt:variant>
      <vt:variant>
        <vt:i4>5767251</vt:i4>
      </vt:variant>
      <vt:variant>
        <vt:i4>39</vt:i4>
      </vt:variant>
      <vt:variant>
        <vt:i4>0</vt:i4>
      </vt:variant>
      <vt:variant>
        <vt:i4>5</vt:i4>
      </vt:variant>
      <vt:variant>
        <vt:lpwstr>https://access42.net/gaad-2020-accessibilite-numerique-ameliorons-nos-arguments/</vt:lpwstr>
      </vt:variant>
      <vt:variant>
        <vt:lpwstr/>
      </vt:variant>
      <vt:variant>
        <vt:i4>4259844</vt:i4>
      </vt:variant>
      <vt:variant>
        <vt:i4>36</vt:i4>
      </vt:variant>
      <vt:variant>
        <vt:i4>0</vt:i4>
      </vt:variant>
      <vt:variant>
        <vt:i4>5</vt:i4>
      </vt:variant>
      <vt:variant>
        <vt:lpwstr>https://www.justdifferent.eu/handicap/et-pourtant-je-suis-vivant-ou-pourquoi-bannir-le-mot-valide</vt:lpwstr>
      </vt:variant>
      <vt:variant>
        <vt:lpwstr/>
      </vt:variant>
      <vt:variant>
        <vt:i4>4063252</vt:i4>
      </vt:variant>
      <vt:variant>
        <vt:i4>33</vt:i4>
      </vt:variant>
      <vt:variant>
        <vt:i4>0</vt:i4>
      </vt:variant>
      <vt:variant>
        <vt:i4>5</vt:i4>
      </vt:variant>
      <vt:variant>
        <vt:lpwstr>https://x.com/cyberbaloo_/status/1531937873368338436?s=20&amp;t=bryI7RMbzJ-SO2xQ3xJEDw</vt:lpwstr>
      </vt:variant>
      <vt:variant>
        <vt:lpwstr/>
      </vt:variant>
      <vt:variant>
        <vt:i4>6684770</vt:i4>
      </vt:variant>
      <vt:variant>
        <vt:i4>30</vt:i4>
      </vt:variant>
      <vt:variant>
        <vt:i4>0</vt:i4>
      </vt:variant>
      <vt:variant>
        <vt:i4>5</vt:i4>
      </vt:variant>
      <vt:variant>
        <vt:lpwstr>https://sheribyrnehaber.com/is-an-identity-model-replacing-the-charitable-medical-and-social-models-of-disability/</vt:lpwstr>
      </vt:variant>
      <vt:variant>
        <vt:lpwstr/>
      </vt:variant>
      <vt:variant>
        <vt:i4>7929918</vt:i4>
      </vt:variant>
      <vt:variant>
        <vt:i4>27</vt:i4>
      </vt:variant>
      <vt:variant>
        <vt:i4>0</vt:i4>
      </vt:variant>
      <vt:variant>
        <vt:i4>5</vt:i4>
      </vt:variant>
      <vt:variant>
        <vt:lpwstr>https://lesdevalideuses.org/ressources-2/accessibiliser-un-evenement-le-guide/</vt:lpwstr>
      </vt:variant>
      <vt:variant>
        <vt:lpwstr/>
      </vt:variant>
      <vt:variant>
        <vt:i4>5701717</vt:i4>
      </vt:variant>
      <vt:variant>
        <vt:i4>24</vt:i4>
      </vt:variant>
      <vt:variant>
        <vt:i4>0</vt:i4>
      </vt:variant>
      <vt:variant>
        <vt:i4>5</vt:i4>
      </vt:variant>
      <vt:variant>
        <vt:lpwstr>https://access42.net/simulation-handicap-avis-personnes-handicapees/</vt:lpwstr>
      </vt:variant>
      <vt:variant>
        <vt:lpwstr/>
      </vt:variant>
      <vt:variant>
        <vt:i4>7667755</vt:i4>
      </vt:variant>
      <vt:variant>
        <vt:i4>21</vt:i4>
      </vt:variant>
      <vt:variant>
        <vt:i4>0</vt:i4>
      </vt:variant>
      <vt:variant>
        <vt:i4>5</vt:i4>
      </vt:variant>
      <vt:variant>
        <vt:lpwstr>https://handicap.gouv.fr/installation-du-conseil-pour-les-questions-semantiques-sociologiques-et-ethiques-du-cncph</vt:lpwstr>
      </vt:variant>
      <vt:variant>
        <vt:lpwstr/>
      </vt:variant>
      <vt:variant>
        <vt:i4>6029332</vt:i4>
      </vt:variant>
      <vt:variant>
        <vt:i4>18</vt:i4>
      </vt:variant>
      <vt:variant>
        <vt:i4>0</vt:i4>
      </vt:variant>
      <vt:variant>
        <vt:i4>5</vt:i4>
      </vt:variant>
      <vt:variant>
        <vt:lpwstr>https://www.radiofrance.fr/franceculture/de-l-infirmite-a-l-egalite-des-chances-la-fabrique-du-mot-handicape-8130074</vt:lpwstr>
      </vt:variant>
      <vt:variant>
        <vt:lpwstr/>
      </vt:variant>
      <vt:variant>
        <vt:i4>2490469</vt:i4>
      </vt:variant>
      <vt:variant>
        <vt:i4>15</vt:i4>
      </vt:variant>
      <vt:variant>
        <vt:i4>0</vt:i4>
      </vt:variant>
      <vt:variant>
        <vt:i4>5</vt:i4>
      </vt:variant>
      <vt:variant>
        <vt:lpwstr>https://u.ae/en/information-and-services/social-affairs/people-of-determination</vt:lpwstr>
      </vt:variant>
      <vt:variant>
        <vt:lpwstr/>
      </vt:variant>
      <vt:variant>
        <vt:i4>6488186</vt:i4>
      </vt:variant>
      <vt:variant>
        <vt:i4>12</vt:i4>
      </vt:variant>
      <vt:variant>
        <vt:i4>0</vt:i4>
      </vt:variant>
      <vt:variant>
        <vt:i4>5</vt:i4>
      </vt:variant>
      <vt:variant>
        <vt:lpwstr>https://www.ophq.gouv.qc.ca/fileadmin/centre_documentaire/Guides/trousse_Vfinal.pdf</vt:lpwstr>
      </vt:variant>
      <vt:variant>
        <vt:lpwstr/>
      </vt:variant>
      <vt:variant>
        <vt:i4>5374093</vt:i4>
      </vt:variant>
      <vt:variant>
        <vt:i4>9</vt:i4>
      </vt:variant>
      <vt:variant>
        <vt:i4>0</vt:i4>
      </vt:variant>
      <vt:variant>
        <vt:i4>5</vt:i4>
      </vt:variant>
      <vt:variant>
        <vt:lpwstr>https://www.ohchr.org/fr/instruments-mechanisms/instruments/convention-rights-persons-disabilities</vt:lpwstr>
      </vt:variant>
      <vt:variant>
        <vt:lpwstr>:~:text=Par%20personnes%20handicapées%20on%20entend,l'égalité%20avec%20les%20autres</vt:lpwstr>
      </vt:variant>
      <vt:variant>
        <vt:i4>7536689</vt:i4>
      </vt:variant>
      <vt:variant>
        <vt:i4>6</vt:i4>
      </vt:variant>
      <vt:variant>
        <vt:i4>0</vt:i4>
      </vt:variant>
      <vt:variant>
        <vt:i4>5</vt:i4>
      </vt:variant>
      <vt:variant>
        <vt:lpwstr>https://shs.cairn.info/revue-vie-sociale-et-traitements-2006-4-page-71?lang=fr</vt:lpwstr>
      </vt:variant>
      <vt:variant>
        <vt:lpwstr/>
      </vt:variant>
      <vt:variant>
        <vt:i4>5308418</vt:i4>
      </vt:variant>
      <vt:variant>
        <vt:i4>3</vt:i4>
      </vt:variant>
      <vt:variant>
        <vt:i4>0</vt:i4>
      </vt:variant>
      <vt:variant>
        <vt:i4>5</vt:i4>
      </vt:variant>
      <vt:variant>
        <vt:lpwstr>https://hal.science/hal-03636439/document</vt:lpwstr>
      </vt:variant>
      <vt:variant>
        <vt:lpwstr/>
      </vt:variant>
      <vt:variant>
        <vt:i4>1245205</vt:i4>
      </vt:variant>
      <vt:variant>
        <vt:i4>0</vt:i4>
      </vt:variant>
      <vt:variant>
        <vt:i4>0</vt:i4>
      </vt:variant>
      <vt:variant>
        <vt:i4>5</vt:i4>
      </vt:variant>
      <vt:variant>
        <vt:lpwstr>https://www.persee.fr/doc/rfp_0556-7807_1987_num_79_1_2421_t1_0098_0000_2</vt:lpwstr>
      </vt:variant>
      <vt:variant>
        <vt:lpwstr/>
      </vt:variant>
      <vt:variant>
        <vt:i4>8192083</vt:i4>
      </vt:variant>
      <vt:variant>
        <vt:i4>14</vt:i4>
      </vt:variant>
      <vt:variant>
        <vt:i4>0</vt:i4>
      </vt:variant>
      <vt:variant>
        <vt:i4>5</vt:i4>
      </vt:variant>
      <vt:variant>
        <vt:lpwstr>mailto:bonjour@access42.net</vt:lpwstr>
      </vt:variant>
      <vt:variant>
        <vt:lpwstr/>
      </vt:variant>
      <vt:variant>
        <vt:i4>4980814</vt:i4>
      </vt:variant>
      <vt:variant>
        <vt:i4>11</vt:i4>
      </vt:variant>
      <vt:variant>
        <vt:i4>0</vt:i4>
      </vt:variant>
      <vt:variant>
        <vt:i4>5</vt:i4>
      </vt:variant>
      <vt:variant>
        <vt:lpwstr>https://access42.net/</vt:lpwstr>
      </vt:variant>
      <vt:variant>
        <vt:lpwstr/>
      </vt:variant>
      <vt:variant>
        <vt:i4>8192083</vt:i4>
      </vt:variant>
      <vt:variant>
        <vt:i4>3</vt:i4>
      </vt:variant>
      <vt:variant>
        <vt:i4>0</vt:i4>
      </vt:variant>
      <vt:variant>
        <vt:i4>5</vt:i4>
      </vt:variant>
      <vt:variant>
        <vt:lpwstr>mailto:bonjour@access42.net</vt:lpwstr>
      </vt:variant>
      <vt:variant>
        <vt:lpwstr/>
      </vt:variant>
      <vt:variant>
        <vt:i4>4980814</vt:i4>
      </vt:variant>
      <vt:variant>
        <vt:i4>0</vt:i4>
      </vt:variant>
      <vt:variant>
        <vt:i4>0</vt:i4>
      </vt:variant>
      <vt:variant>
        <vt:i4>5</vt:i4>
      </vt:variant>
      <vt:variant>
        <vt:lpwstr>https://access42.net/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détaillé de l’étude « Nomenclature de la sémantique sur le handicap » menée par Access42 en 2023</dc:title>
  <dc:subject/>
  <dc:creator/>
  <cp:keywords/>
  <dc:description/>
  <cp:lastModifiedBy/>
  <cp:revision>1</cp:revision>
  <cp:lastPrinted>2018-03-01T16:09:00Z</cp:lastPrinted>
  <dcterms:created xsi:type="dcterms:W3CDTF">2025-02-03T16:31:00Z</dcterms:created>
  <dcterms:modified xsi:type="dcterms:W3CDTF">2025-02-03T16:32:00Z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0x01010090D74C303420574EB4271F1D9BF8C701</vt:lpwstr>
  </property>
  <property fmtid="{D5CDD505-2E9C-101B-9397-08002B2CF9AE}" pid="3" name="MediaServiceImageTags">
    <vt:lpwstr/>
  </property>
</Properties>
</file>